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numbering.xml" ContentType="application/vnd.openxmlformats-officedocument.wordprocessingml.numbering+xml"/>
  <Override PartName="/customXml/itemProps1.xml" ContentType="application/vnd.openxmlformats-officedocument.customXml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FAF6F5" w14:textId="63AE8800" w:rsidR="004773A8" w:rsidRPr="00EF4D4C" w:rsidRDefault="005C2689" w:rsidP="007E6296">
      <w:pPr>
        <w:spacing w:line="276" w:lineRule="auto"/>
        <w:rPr>
          <w:rFonts w:ascii="Arial" w:hAnsi="Arial" w:cs="Arial"/>
          <w:b/>
          <w:bCs/>
        </w:rPr>
      </w:pPr>
      <w:r w:rsidRPr="00EF4D4C">
        <w:rPr>
          <w:rFonts w:ascii="Arial" w:hAnsi="Arial" w:cs="Arial"/>
          <w:b/>
          <w:bCs/>
          <w:noProof/>
        </w:rPr>
        <w:drawing>
          <wp:anchor distT="0" distB="0" distL="114300" distR="114300" simplePos="0" relativeHeight="251658240" behindDoc="0" locked="0" layoutInCell="1" allowOverlap="1" wp14:anchorId="68AF9613" wp14:editId="3D6614BE">
            <wp:simplePos x="0" y="0"/>
            <wp:positionH relativeFrom="page">
              <wp:align>left</wp:align>
            </wp:positionH>
            <wp:positionV relativeFrom="paragraph">
              <wp:posOffset>234</wp:posOffset>
            </wp:positionV>
            <wp:extent cx="7555230" cy="8590280"/>
            <wp:effectExtent l="0" t="0" r="7620" b="1270"/>
            <wp:wrapThrough wrapText="bothSides">
              <wp:wrapPolygon edited="0">
                <wp:start x="0" y="0"/>
                <wp:lineTo x="0" y="21555"/>
                <wp:lineTo x="21567" y="21555"/>
                <wp:lineTo x="21567" y="0"/>
                <wp:lineTo x="0" y="0"/>
              </wp:wrapPolygon>
            </wp:wrapThrough>
            <wp:docPr id="62867304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673044" name="Imagen 628673044"/>
                    <pic:cNvPicPr/>
                  </pic:nvPicPr>
                  <pic:blipFill>
                    <a:blip r:embed="rId8">
                      <a:extLst>
                        <a:ext uri="{28A0092B-C50C-407E-A947-70E740481C1C}">
                          <a14:useLocalDpi xmlns:a14="http://schemas.microsoft.com/office/drawing/2010/main" val="0"/>
                        </a:ext>
                      </a:extLst>
                    </a:blip>
                    <a:stretch>
                      <a:fillRect/>
                    </a:stretch>
                  </pic:blipFill>
                  <pic:spPr>
                    <a:xfrm>
                      <a:off x="0" y="0"/>
                      <a:ext cx="7555230" cy="8590280"/>
                    </a:xfrm>
                    <a:prstGeom prst="rect">
                      <a:avLst/>
                    </a:prstGeom>
                  </pic:spPr>
                </pic:pic>
              </a:graphicData>
            </a:graphic>
            <wp14:sizeRelH relativeFrom="page">
              <wp14:pctWidth>0</wp14:pctWidth>
            </wp14:sizeRelH>
            <wp14:sizeRelV relativeFrom="page">
              <wp14:pctHeight>0</wp14:pctHeight>
            </wp14:sizeRelV>
          </wp:anchor>
        </w:drawing>
      </w:r>
    </w:p>
    <w:p w14:paraId="6D43DE7C" w14:textId="20CC37CE" w:rsidR="00C532E8" w:rsidRPr="00EF4D4C" w:rsidRDefault="00C532E8" w:rsidP="00C532E8">
      <w:pPr>
        <w:spacing w:line="276" w:lineRule="auto"/>
        <w:rPr>
          <w:rFonts w:ascii="Arial" w:hAnsi="Arial" w:cs="Arial"/>
          <w:b/>
          <w:bCs/>
        </w:rPr>
      </w:pPr>
      <w:r w:rsidRPr="00EF4D4C">
        <w:rPr>
          <w:rFonts w:ascii="Arial" w:hAnsi="Arial" w:cs="Arial"/>
          <w:b/>
          <w:bCs/>
          <w:noProof/>
        </w:rPr>
        <w:lastRenderedPageBreak/>
        <w:drawing>
          <wp:anchor distT="0" distB="0" distL="114300" distR="114300" simplePos="0" relativeHeight="251660288" behindDoc="0" locked="0" layoutInCell="1" allowOverlap="1" wp14:anchorId="48C90716" wp14:editId="223CA41C">
            <wp:simplePos x="0" y="0"/>
            <wp:positionH relativeFrom="page">
              <wp:align>right</wp:align>
            </wp:positionH>
            <wp:positionV relativeFrom="paragraph">
              <wp:posOffset>335</wp:posOffset>
            </wp:positionV>
            <wp:extent cx="7555230" cy="8582025"/>
            <wp:effectExtent l="0" t="0" r="7620" b="9525"/>
            <wp:wrapThrough wrapText="bothSides">
              <wp:wrapPolygon edited="0">
                <wp:start x="0" y="0"/>
                <wp:lineTo x="0" y="21576"/>
                <wp:lineTo x="21567" y="21576"/>
                <wp:lineTo x="21567" y="0"/>
                <wp:lineTo x="0" y="0"/>
              </wp:wrapPolygon>
            </wp:wrapThrough>
            <wp:docPr id="184790825" name="Imagen 3"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825" name="Imagen 3" descr="Interfaz de usuario gráfica&#10;&#10;El contenido generado por IA puede ser incorrecto."/>
                    <pic:cNvPicPr/>
                  </pic:nvPicPr>
                  <pic:blipFill>
                    <a:blip r:embed="rId9">
                      <a:extLst>
                        <a:ext uri="{28A0092B-C50C-407E-A947-70E740481C1C}">
                          <a14:useLocalDpi xmlns:a14="http://schemas.microsoft.com/office/drawing/2010/main" val="0"/>
                        </a:ext>
                      </a:extLst>
                    </a:blip>
                    <a:stretch>
                      <a:fillRect/>
                    </a:stretch>
                  </pic:blipFill>
                  <pic:spPr>
                    <a:xfrm>
                      <a:off x="0" y="0"/>
                      <a:ext cx="7555230" cy="8582025"/>
                    </a:xfrm>
                    <a:prstGeom prst="rect">
                      <a:avLst/>
                    </a:prstGeom>
                  </pic:spPr>
                </pic:pic>
              </a:graphicData>
            </a:graphic>
            <wp14:sizeRelH relativeFrom="page">
              <wp14:pctWidth>0</wp14:pctWidth>
            </wp14:sizeRelH>
            <wp14:sizeRelV relativeFrom="page">
              <wp14:pctHeight>0</wp14:pctHeight>
            </wp14:sizeRelV>
          </wp:anchor>
        </w:drawing>
      </w:r>
    </w:p>
    <w:p w14:paraId="4157DBD0" w14:textId="52A8F75D" w:rsidR="006D00D5" w:rsidRPr="00EF4D4C" w:rsidRDefault="3F9E1A65" w:rsidP="00EF4D4C">
      <w:pPr>
        <w:spacing w:line="276" w:lineRule="auto"/>
        <w:jc w:val="center"/>
        <w:rPr>
          <w:rFonts w:ascii="Arial" w:hAnsi="Arial" w:cs="Arial"/>
          <w:b/>
          <w:bCs/>
        </w:rPr>
      </w:pPr>
      <w:r w:rsidRPr="00EF4D4C">
        <w:rPr>
          <w:rFonts w:ascii="Arial" w:hAnsi="Arial" w:cs="Arial"/>
          <w:b/>
          <w:bCs/>
        </w:rPr>
        <w:lastRenderedPageBreak/>
        <w:t xml:space="preserve">Anexo </w:t>
      </w:r>
      <w:r w:rsidR="16F0B47B" w:rsidRPr="00EF4D4C">
        <w:rPr>
          <w:rFonts w:ascii="Arial" w:hAnsi="Arial" w:cs="Arial"/>
          <w:b/>
          <w:bCs/>
        </w:rPr>
        <w:t>2</w:t>
      </w:r>
      <w:r w:rsidR="44BA2AEC" w:rsidRPr="00EF4D4C">
        <w:rPr>
          <w:rFonts w:ascii="Arial" w:hAnsi="Arial" w:cs="Arial"/>
          <w:b/>
          <w:bCs/>
        </w:rPr>
        <w:t>2</w:t>
      </w:r>
      <w:r w:rsidRPr="00EF4D4C">
        <w:rPr>
          <w:rFonts w:ascii="Arial" w:hAnsi="Arial" w:cs="Arial"/>
          <w:b/>
          <w:bCs/>
        </w:rPr>
        <w:t xml:space="preserve">. </w:t>
      </w:r>
      <w:r w:rsidR="5242CF6B" w:rsidRPr="00EF4D4C">
        <w:rPr>
          <w:rFonts w:ascii="Arial" w:hAnsi="Arial" w:cs="Arial"/>
          <w:b/>
          <w:bCs/>
        </w:rPr>
        <w:t>Cartilla</w:t>
      </w:r>
      <w:r w:rsidR="1278E7F2" w:rsidRPr="00EF4D4C">
        <w:rPr>
          <w:rFonts w:ascii="Arial" w:hAnsi="Arial" w:cs="Arial"/>
          <w:b/>
          <w:bCs/>
        </w:rPr>
        <w:t xml:space="preserve"> </w:t>
      </w:r>
      <w:r w:rsidR="316B1EFF" w:rsidRPr="00EF4D4C">
        <w:rPr>
          <w:rFonts w:ascii="Arial" w:hAnsi="Arial" w:cs="Arial"/>
          <w:b/>
          <w:bCs/>
        </w:rPr>
        <w:t xml:space="preserve">para entender el </w:t>
      </w:r>
      <w:r w:rsidRPr="00EF4D4C">
        <w:rPr>
          <w:rFonts w:ascii="Arial" w:hAnsi="Arial" w:cs="Arial"/>
          <w:b/>
          <w:bCs/>
        </w:rPr>
        <w:t xml:space="preserve">alcance </w:t>
      </w:r>
      <w:r w:rsidR="39427130" w:rsidRPr="00EF4D4C">
        <w:rPr>
          <w:rFonts w:ascii="Arial" w:hAnsi="Arial" w:cs="Arial"/>
          <w:b/>
          <w:bCs/>
        </w:rPr>
        <w:t xml:space="preserve">del </w:t>
      </w:r>
      <w:r w:rsidRPr="00EF4D4C">
        <w:rPr>
          <w:rFonts w:ascii="Arial" w:hAnsi="Arial" w:cs="Arial"/>
          <w:b/>
          <w:bCs/>
        </w:rPr>
        <w:t>Artículo 5 Ley 2126 de 202</w:t>
      </w:r>
      <w:r w:rsidR="558E171D" w:rsidRPr="00EF4D4C">
        <w:rPr>
          <w:rFonts w:ascii="Arial" w:hAnsi="Arial" w:cs="Arial"/>
          <w:b/>
          <w:bCs/>
        </w:rPr>
        <w:t xml:space="preserve">1, </w:t>
      </w:r>
      <w:r w:rsidR="52AB0C3E" w:rsidRPr="00EF4D4C">
        <w:rPr>
          <w:rFonts w:ascii="Arial" w:hAnsi="Arial" w:cs="Arial"/>
          <w:b/>
          <w:bCs/>
        </w:rPr>
        <w:t>otras competencias de las Comisarías de Familia</w:t>
      </w:r>
      <w:r w:rsidR="558E171D" w:rsidRPr="00EF4D4C">
        <w:rPr>
          <w:rFonts w:ascii="Arial" w:hAnsi="Arial" w:cs="Arial"/>
          <w:b/>
          <w:bCs/>
        </w:rPr>
        <w:t xml:space="preserve"> y Sistema Nacional de Justicia Familiar.</w:t>
      </w:r>
    </w:p>
    <w:p w14:paraId="497A1570" w14:textId="77777777" w:rsidR="00605162" w:rsidRPr="00EF4D4C" w:rsidRDefault="00605162" w:rsidP="00605162">
      <w:pPr>
        <w:spacing w:line="276" w:lineRule="auto"/>
        <w:jc w:val="center"/>
        <w:rPr>
          <w:rFonts w:ascii="Arial" w:hAnsi="Arial" w:cs="Arial"/>
          <w:b/>
          <w:bCs/>
        </w:rPr>
      </w:pPr>
    </w:p>
    <w:p w14:paraId="35350272" w14:textId="75310590" w:rsidR="008705A4" w:rsidRPr="00EF4D4C" w:rsidRDefault="006D00D5" w:rsidP="00880BFB">
      <w:pPr>
        <w:ind w:firstLine="720"/>
        <w:jc w:val="both"/>
        <w:rPr>
          <w:rFonts w:ascii="Arial" w:hAnsi="Arial" w:cs="Arial"/>
          <w:noProof/>
        </w:rPr>
      </w:pPr>
      <w:r w:rsidRPr="00EF4D4C">
        <w:rPr>
          <w:rFonts w:ascii="Arial" w:hAnsi="Arial" w:cs="Arial"/>
        </w:rPr>
        <w:t>La determinación de la competencia en las Comisarías de Familia, conforme al marco jurídico establecido por la Ley 2126 de 2021, se estructura a partir de un sistema de factores que orientan la actuación de estas autoridades en función del territorio, la naturaleza de la función, la ausencia de otras entidades competentes, la posibilidad de intervención conjunta y la urgencia en la atención de derechos fundamentales. Estos factores territorial, funcional, subsidiario, concurrente y a prevención no solo definen el ámbito de actuación de las Comisarías, sino que garantizan una respuesta articulada, flexible y centrada en la víctima, ajustada a los principios del servicio de justicia familiar.</w:t>
      </w:r>
      <w:r w:rsidR="008705A4" w:rsidRPr="00EF4D4C">
        <w:rPr>
          <w:rFonts w:ascii="Arial" w:hAnsi="Arial" w:cs="Arial"/>
          <w:noProof/>
        </w:rPr>
        <w:t xml:space="preserve"> </w:t>
      </w:r>
    </w:p>
    <w:p w14:paraId="3104C9F4" w14:textId="77777777" w:rsidR="00C52836" w:rsidRPr="00EF4D4C" w:rsidRDefault="00C52836" w:rsidP="00486CEF">
      <w:pPr>
        <w:spacing w:line="276" w:lineRule="auto"/>
        <w:jc w:val="both"/>
        <w:rPr>
          <w:rFonts w:ascii="Arial" w:hAnsi="Arial" w:cs="Arial"/>
          <w:noProof/>
        </w:rPr>
      </w:pPr>
    </w:p>
    <w:p w14:paraId="4122D346" w14:textId="2F94330C" w:rsidR="00C52836" w:rsidRPr="00EF4D4C" w:rsidRDefault="00A54E94" w:rsidP="00076BD0">
      <w:pPr>
        <w:spacing w:line="276" w:lineRule="auto"/>
        <w:jc w:val="center"/>
        <w:rPr>
          <w:rFonts w:ascii="Arial" w:hAnsi="Arial" w:cs="Arial"/>
        </w:rPr>
      </w:pPr>
      <w:r w:rsidRPr="00EF4D4C">
        <w:rPr>
          <w:rFonts w:ascii="Arial" w:hAnsi="Arial" w:cs="Arial"/>
          <w:noProof/>
        </w:rPr>
        <w:drawing>
          <wp:inline distT="0" distB="0" distL="0" distR="0" wp14:anchorId="5523532C" wp14:editId="0E9BCA6C">
            <wp:extent cx="5623560" cy="3749040"/>
            <wp:effectExtent l="0" t="0" r="0" b="3810"/>
            <wp:docPr id="104397488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974882" name="Imagen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23560" cy="3749040"/>
                    </a:xfrm>
                    <a:prstGeom prst="rect">
                      <a:avLst/>
                    </a:prstGeom>
                    <a:noFill/>
                  </pic:spPr>
                </pic:pic>
              </a:graphicData>
            </a:graphic>
          </wp:inline>
        </w:drawing>
      </w:r>
    </w:p>
    <w:p w14:paraId="6C110616" w14:textId="77777777" w:rsidR="00076BD0" w:rsidRPr="00EF4D4C" w:rsidRDefault="00076BD0" w:rsidP="00076BD0">
      <w:pPr>
        <w:spacing w:line="276" w:lineRule="auto"/>
        <w:jc w:val="center"/>
        <w:rPr>
          <w:rFonts w:ascii="Arial" w:hAnsi="Arial" w:cs="Arial"/>
        </w:rPr>
      </w:pPr>
    </w:p>
    <w:p w14:paraId="5E8D1DF8" w14:textId="77777777" w:rsidR="006D00D5" w:rsidRPr="00EF4D4C" w:rsidRDefault="006D00D5" w:rsidP="00880BFB">
      <w:pPr>
        <w:spacing w:line="276" w:lineRule="auto"/>
        <w:ind w:firstLine="720"/>
        <w:jc w:val="both"/>
        <w:rPr>
          <w:rFonts w:ascii="Arial" w:hAnsi="Arial" w:cs="Arial"/>
        </w:rPr>
      </w:pPr>
      <w:r w:rsidRPr="00EF4D4C">
        <w:rPr>
          <w:rFonts w:ascii="Arial" w:hAnsi="Arial" w:cs="Arial"/>
        </w:rPr>
        <w:t>Esta guía explica, de forma práctica y casuística, cómo aplicar los factores que determinan la competencia de las Comisarías de Familia. Busca ser una herramienta operativa para funcionar como apoyo a la derivación correcta de casos y evitar vacíos de protección. Integra la normativa, interpretación doctrinal y la jurisprudencia reciente que ha venido delimitando alcances y límites.</w:t>
      </w:r>
    </w:p>
    <w:p w14:paraId="4C1BE4B6" w14:textId="77777777" w:rsidR="008705A4" w:rsidRPr="00EF4D4C" w:rsidRDefault="008705A4" w:rsidP="00486CEF">
      <w:pPr>
        <w:spacing w:line="276" w:lineRule="auto"/>
        <w:jc w:val="both"/>
        <w:rPr>
          <w:rFonts w:ascii="Arial" w:hAnsi="Arial" w:cs="Arial"/>
        </w:rPr>
      </w:pPr>
    </w:p>
    <w:p w14:paraId="6079881E" w14:textId="18371D2F" w:rsidR="008705A4" w:rsidRPr="00EF4D4C" w:rsidRDefault="007A5E04" w:rsidP="00486CEF">
      <w:pPr>
        <w:spacing w:line="276" w:lineRule="auto"/>
        <w:jc w:val="center"/>
        <w:rPr>
          <w:rFonts w:ascii="Arial" w:hAnsi="Arial" w:cs="Arial"/>
        </w:rPr>
      </w:pPr>
      <w:r w:rsidRPr="00EF4D4C">
        <w:rPr>
          <w:rFonts w:ascii="Arial" w:hAnsi="Arial" w:cs="Arial"/>
          <w:noProof/>
        </w:rPr>
        <w:lastRenderedPageBreak/>
        <w:drawing>
          <wp:inline distT="0" distB="0" distL="0" distR="0" wp14:anchorId="15674468" wp14:editId="12B84D51">
            <wp:extent cx="5830539" cy="1491916"/>
            <wp:effectExtent l="0" t="0" r="0" b="0"/>
            <wp:docPr id="247988077" name="Imagen 6"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988077" name="Imagen 6" descr="Texto&#10;&#10;El contenido generado por IA puede ser incorrecto."/>
                    <pic:cNvPicPr/>
                  </pic:nvPicPr>
                  <pic:blipFill>
                    <a:blip r:embed="rId11">
                      <a:extLst>
                        <a:ext uri="{28A0092B-C50C-407E-A947-70E740481C1C}">
                          <a14:useLocalDpi xmlns:a14="http://schemas.microsoft.com/office/drawing/2010/main" val="0"/>
                        </a:ext>
                      </a:extLst>
                    </a:blip>
                    <a:stretch>
                      <a:fillRect/>
                    </a:stretch>
                  </pic:blipFill>
                  <pic:spPr>
                    <a:xfrm>
                      <a:off x="0" y="0"/>
                      <a:ext cx="5876144" cy="1503585"/>
                    </a:xfrm>
                    <a:prstGeom prst="rect">
                      <a:avLst/>
                    </a:prstGeom>
                  </pic:spPr>
                </pic:pic>
              </a:graphicData>
            </a:graphic>
          </wp:inline>
        </w:drawing>
      </w:r>
    </w:p>
    <w:p w14:paraId="60D7841D" w14:textId="77777777" w:rsidR="003937A8" w:rsidRPr="00EF4D4C" w:rsidRDefault="003937A8" w:rsidP="00486CEF">
      <w:pPr>
        <w:spacing w:line="276" w:lineRule="auto"/>
        <w:jc w:val="both"/>
        <w:rPr>
          <w:rFonts w:ascii="Arial" w:hAnsi="Arial" w:cs="Arial"/>
        </w:rPr>
      </w:pPr>
    </w:p>
    <w:p w14:paraId="2FC496C6" w14:textId="2941E251" w:rsidR="003937A8" w:rsidRPr="00EF4D4C" w:rsidRDefault="003937A8" w:rsidP="00486CEF">
      <w:pPr>
        <w:spacing w:line="276" w:lineRule="auto"/>
        <w:jc w:val="center"/>
        <w:rPr>
          <w:rFonts w:ascii="Arial" w:hAnsi="Arial" w:cs="Arial"/>
        </w:rPr>
      </w:pPr>
    </w:p>
    <w:p w14:paraId="1D6ED06E" w14:textId="24567337" w:rsidR="00C327E6" w:rsidRPr="00EF4D4C" w:rsidRDefault="00C327E6" w:rsidP="00486CEF">
      <w:pPr>
        <w:spacing w:line="276" w:lineRule="auto"/>
        <w:jc w:val="both"/>
        <w:rPr>
          <w:rFonts w:ascii="Arial" w:hAnsi="Arial" w:cs="Arial"/>
        </w:rPr>
      </w:pPr>
      <w:r w:rsidRPr="00EF4D4C">
        <w:rPr>
          <w:rFonts w:ascii="Arial" w:hAnsi="Arial" w:cs="Arial"/>
          <w:noProof/>
        </w:rPr>
        <w:lastRenderedPageBreak/>
        <w:drawing>
          <wp:inline distT="0" distB="0" distL="0" distR="0" wp14:anchorId="103722E2" wp14:editId="51CD281A">
            <wp:extent cx="5760056" cy="6633410"/>
            <wp:effectExtent l="0" t="0" r="0" b="0"/>
            <wp:docPr id="60452663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a:extLst>
                        <a:ext uri="{28A0092B-C50C-407E-A947-70E740481C1C}">
                          <a14:useLocalDpi xmlns:a14="http://schemas.microsoft.com/office/drawing/2010/main" val="0"/>
                        </a:ext>
                      </a:extLst>
                    </a:blip>
                    <a:srcRect t="2502" r="2752" b="35567"/>
                    <a:stretch>
                      <a:fillRect/>
                    </a:stretch>
                  </pic:blipFill>
                  <pic:spPr bwMode="auto">
                    <a:xfrm>
                      <a:off x="0" y="0"/>
                      <a:ext cx="5781741" cy="6658383"/>
                    </a:xfrm>
                    <a:prstGeom prst="rect">
                      <a:avLst/>
                    </a:prstGeom>
                    <a:noFill/>
                    <a:ln>
                      <a:noFill/>
                    </a:ln>
                    <a:extLst>
                      <a:ext uri="{53640926-AAD7-44D8-BBD7-CCE9431645EC}">
                        <a14:shadowObscured xmlns:a14="http://schemas.microsoft.com/office/drawing/2010/main"/>
                      </a:ext>
                    </a:extLst>
                  </pic:spPr>
                </pic:pic>
              </a:graphicData>
            </a:graphic>
          </wp:inline>
        </w:drawing>
      </w:r>
    </w:p>
    <w:p w14:paraId="41C2A8F7" w14:textId="77777777" w:rsidR="00C327E6" w:rsidRPr="00EF4D4C" w:rsidRDefault="00C327E6" w:rsidP="00486CEF">
      <w:pPr>
        <w:spacing w:line="276" w:lineRule="auto"/>
        <w:jc w:val="both"/>
        <w:rPr>
          <w:rFonts w:ascii="Arial" w:hAnsi="Arial" w:cs="Arial"/>
        </w:rPr>
      </w:pPr>
    </w:p>
    <w:p w14:paraId="337594A0" w14:textId="3233A985" w:rsidR="00075A8E" w:rsidRPr="00EF4D4C" w:rsidRDefault="6F0002BB" w:rsidP="00880BFB">
      <w:pPr>
        <w:spacing w:line="276" w:lineRule="auto"/>
        <w:ind w:firstLine="720"/>
        <w:jc w:val="both"/>
        <w:rPr>
          <w:rFonts w:ascii="Arial" w:hAnsi="Arial" w:cs="Arial"/>
        </w:rPr>
      </w:pPr>
      <w:r w:rsidRPr="00EF4D4C">
        <w:rPr>
          <w:rFonts w:ascii="Arial" w:hAnsi="Arial" w:cs="Arial"/>
        </w:rPr>
        <w:t>Esta conceptualización también comprende las agresiones que se producen en el marco de relaciones basadas en la confianza, afectividad, convivencia, cuidado o dependencia, incluyendo a las personas vinculadas conforme a los supuestos normativos (</w:t>
      </w:r>
      <w:r w:rsidR="377FCCA3" w:rsidRPr="00EF4D4C">
        <w:rPr>
          <w:rFonts w:ascii="Arial" w:hAnsi="Arial" w:cs="Arial"/>
        </w:rPr>
        <w:t>excónyuges</w:t>
      </w:r>
      <w:r w:rsidRPr="00EF4D4C">
        <w:rPr>
          <w:rFonts w:ascii="Arial" w:hAnsi="Arial" w:cs="Arial"/>
        </w:rPr>
        <w:t xml:space="preserve">, </w:t>
      </w:r>
      <w:r w:rsidR="37B3464A" w:rsidRPr="00EF4D4C">
        <w:rPr>
          <w:rFonts w:ascii="Arial" w:hAnsi="Arial" w:cs="Arial"/>
        </w:rPr>
        <w:t>excompañeros</w:t>
      </w:r>
      <w:r w:rsidRPr="00EF4D4C">
        <w:rPr>
          <w:rFonts w:ascii="Arial" w:hAnsi="Arial" w:cs="Arial"/>
        </w:rPr>
        <w:t xml:space="preserve"> permanentes, progenitores entre sí, cuidadores y quienes integran la unidad doméstica sin ser familia por parentesco).</w:t>
      </w:r>
    </w:p>
    <w:p w14:paraId="699E4E6E" w14:textId="77777777" w:rsidR="00076BD0" w:rsidRPr="00EF4D4C" w:rsidRDefault="00076BD0" w:rsidP="00880BFB">
      <w:pPr>
        <w:spacing w:line="276" w:lineRule="auto"/>
        <w:ind w:firstLine="720"/>
        <w:jc w:val="both"/>
        <w:rPr>
          <w:rFonts w:ascii="Arial" w:hAnsi="Arial" w:cs="Arial"/>
        </w:rPr>
      </w:pPr>
    </w:p>
    <w:p w14:paraId="62D5D099" w14:textId="0A10EE08" w:rsidR="00075A8E" w:rsidRPr="00EF4D4C" w:rsidRDefault="00A24005" w:rsidP="00486CEF">
      <w:pPr>
        <w:spacing w:line="276" w:lineRule="auto"/>
        <w:jc w:val="both"/>
        <w:rPr>
          <w:rFonts w:ascii="Arial" w:hAnsi="Arial" w:cs="Arial"/>
        </w:rPr>
      </w:pPr>
      <w:r w:rsidRPr="00EF4D4C">
        <w:rPr>
          <w:rFonts w:ascii="Arial" w:hAnsi="Arial" w:cs="Arial"/>
          <w:noProof/>
        </w:rPr>
        <w:drawing>
          <wp:inline distT="0" distB="0" distL="0" distR="0" wp14:anchorId="594C6B33" wp14:editId="3D6CC185">
            <wp:extent cx="5619274" cy="5863590"/>
            <wp:effectExtent l="0" t="0" r="635" b="3810"/>
            <wp:docPr id="142934826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3">
                      <a:extLst>
                        <a:ext uri="{28A0092B-C50C-407E-A947-70E740481C1C}">
                          <a14:useLocalDpi xmlns:a14="http://schemas.microsoft.com/office/drawing/2010/main" val="0"/>
                        </a:ext>
                      </a:extLst>
                    </a:blip>
                    <a:srcRect l="-148" t="2965" b="27470"/>
                    <a:stretch>
                      <a:fillRect/>
                    </a:stretch>
                  </pic:blipFill>
                  <pic:spPr bwMode="auto">
                    <a:xfrm>
                      <a:off x="0" y="0"/>
                      <a:ext cx="5631755" cy="5876614"/>
                    </a:xfrm>
                    <a:prstGeom prst="rect">
                      <a:avLst/>
                    </a:prstGeom>
                    <a:noFill/>
                    <a:ln>
                      <a:noFill/>
                    </a:ln>
                    <a:extLst>
                      <a:ext uri="{53640926-AAD7-44D8-BBD7-CCE9431645EC}">
                        <a14:shadowObscured xmlns:a14="http://schemas.microsoft.com/office/drawing/2010/main"/>
                      </a:ext>
                    </a:extLst>
                  </pic:spPr>
                </pic:pic>
              </a:graphicData>
            </a:graphic>
          </wp:inline>
        </w:drawing>
      </w:r>
    </w:p>
    <w:p w14:paraId="5D0322DE" w14:textId="77777777" w:rsidR="002A7CDC" w:rsidRPr="00EF4D4C" w:rsidRDefault="002A7CDC" w:rsidP="00486CEF">
      <w:pPr>
        <w:spacing w:line="276" w:lineRule="auto"/>
        <w:jc w:val="both"/>
        <w:rPr>
          <w:rFonts w:ascii="Arial" w:hAnsi="Arial" w:cs="Arial"/>
        </w:rPr>
      </w:pPr>
    </w:p>
    <w:p w14:paraId="5C5D8B5E" w14:textId="3E3365DA" w:rsidR="006D00D5" w:rsidRPr="00EF4D4C" w:rsidRDefault="3F9E1A65" w:rsidP="00880BFB">
      <w:pPr>
        <w:spacing w:line="276" w:lineRule="auto"/>
        <w:ind w:firstLine="720"/>
        <w:jc w:val="both"/>
        <w:rPr>
          <w:rFonts w:ascii="Arial" w:hAnsi="Arial" w:cs="Arial"/>
        </w:rPr>
      </w:pPr>
      <w:r w:rsidRPr="00EF4D4C">
        <w:rPr>
          <w:rFonts w:ascii="Arial" w:hAnsi="Arial" w:cs="Arial"/>
        </w:rPr>
        <w:t>Esta definición adopta un concepto relacional y situacional, que exige que el operador observe no solo la conducta, sino</w:t>
      </w:r>
      <w:r w:rsidR="3C003A5B" w:rsidRPr="00EF4D4C">
        <w:rPr>
          <w:rFonts w:ascii="Arial" w:hAnsi="Arial" w:cs="Arial"/>
        </w:rPr>
        <w:t xml:space="preserve"> el contexto de la situación, hechos y personas relacionadas con el mismo.</w:t>
      </w:r>
      <w:r w:rsidR="5D793B34" w:rsidRPr="00EF4D4C">
        <w:rPr>
          <w:rFonts w:ascii="Arial" w:hAnsi="Arial" w:cs="Arial"/>
        </w:rPr>
        <w:t xml:space="preserve"> </w:t>
      </w:r>
      <w:r w:rsidRPr="00EF4D4C">
        <w:rPr>
          <w:rFonts w:ascii="Arial" w:hAnsi="Arial" w:cs="Arial"/>
        </w:rPr>
        <w:t>No se trata simplemente de determinar si un hecho es violento, sino de comprender si ese hecho ocurre dentro de un ámbito protegido por la ley. Y ese ámbito, como lo explican los literales a–e del artículo 5, es mucho más amplio de lo que históricamente se ha entendido por “familia”.</w:t>
      </w:r>
    </w:p>
    <w:p w14:paraId="0BB8847F" w14:textId="061A0A5C" w:rsidR="002A7CDC" w:rsidRPr="00EF4D4C" w:rsidRDefault="005601EE" w:rsidP="005601EE">
      <w:pPr>
        <w:pStyle w:val="Descripcin"/>
        <w:jc w:val="center"/>
        <w:rPr>
          <w:rFonts w:ascii="Arial" w:hAnsi="Arial" w:cs="Arial"/>
          <w:b/>
          <w:bCs/>
          <w:i w:val="0"/>
          <w:iCs w:val="0"/>
          <w:color w:val="000000" w:themeColor="text1"/>
          <w:sz w:val="24"/>
          <w:szCs w:val="24"/>
        </w:rPr>
      </w:pPr>
      <w:bookmarkStart w:id="0" w:name="_Toc217301468"/>
      <w:r w:rsidRPr="00EF4D4C">
        <w:rPr>
          <w:rFonts w:ascii="Arial" w:hAnsi="Arial" w:cs="Arial"/>
          <w:b/>
          <w:bCs/>
          <w:i w:val="0"/>
          <w:iCs w:val="0"/>
          <w:color w:val="000000" w:themeColor="text1"/>
          <w:sz w:val="24"/>
          <w:szCs w:val="24"/>
        </w:rPr>
        <w:t xml:space="preserve">Tabla </w:t>
      </w:r>
      <w:r w:rsidRPr="00EF4D4C">
        <w:rPr>
          <w:rFonts w:ascii="Arial" w:hAnsi="Arial" w:cs="Arial"/>
          <w:b/>
          <w:bCs/>
          <w:i w:val="0"/>
          <w:iCs w:val="0"/>
          <w:color w:val="000000" w:themeColor="text1"/>
          <w:sz w:val="24"/>
          <w:szCs w:val="24"/>
        </w:rPr>
        <w:fldChar w:fldCharType="begin"/>
      </w:r>
      <w:r w:rsidRPr="00EF4D4C">
        <w:rPr>
          <w:rFonts w:ascii="Arial" w:hAnsi="Arial" w:cs="Arial"/>
          <w:b/>
          <w:bCs/>
          <w:i w:val="0"/>
          <w:iCs w:val="0"/>
          <w:color w:val="000000" w:themeColor="text1"/>
          <w:sz w:val="24"/>
          <w:szCs w:val="24"/>
        </w:rPr>
        <w:instrText xml:space="preserve"> SEQ Tabla \* ARABIC </w:instrText>
      </w:r>
      <w:r w:rsidRPr="00EF4D4C">
        <w:rPr>
          <w:rFonts w:ascii="Arial" w:hAnsi="Arial" w:cs="Arial"/>
          <w:b/>
          <w:bCs/>
          <w:i w:val="0"/>
          <w:iCs w:val="0"/>
          <w:color w:val="000000" w:themeColor="text1"/>
          <w:sz w:val="24"/>
          <w:szCs w:val="24"/>
        </w:rPr>
        <w:fldChar w:fldCharType="separate"/>
      </w:r>
      <w:r w:rsidR="007F5C59" w:rsidRPr="00EF4D4C">
        <w:rPr>
          <w:rFonts w:ascii="Arial" w:hAnsi="Arial" w:cs="Arial"/>
          <w:b/>
          <w:bCs/>
          <w:i w:val="0"/>
          <w:iCs w:val="0"/>
          <w:noProof/>
          <w:color w:val="000000" w:themeColor="text1"/>
          <w:sz w:val="24"/>
          <w:szCs w:val="24"/>
        </w:rPr>
        <w:t>1</w:t>
      </w:r>
      <w:r w:rsidRPr="00EF4D4C">
        <w:rPr>
          <w:rFonts w:ascii="Arial" w:hAnsi="Arial" w:cs="Arial"/>
          <w:b/>
          <w:bCs/>
          <w:i w:val="0"/>
          <w:iCs w:val="0"/>
          <w:color w:val="000000" w:themeColor="text1"/>
          <w:sz w:val="24"/>
          <w:szCs w:val="24"/>
        </w:rPr>
        <w:fldChar w:fldCharType="end"/>
      </w:r>
      <w:r w:rsidRPr="00EF4D4C">
        <w:rPr>
          <w:rFonts w:ascii="Arial" w:hAnsi="Arial" w:cs="Arial"/>
          <w:b/>
          <w:bCs/>
          <w:i w:val="0"/>
          <w:iCs w:val="0"/>
          <w:color w:val="000000" w:themeColor="text1"/>
          <w:sz w:val="24"/>
          <w:szCs w:val="24"/>
        </w:rPr>
        <w:t>.</w:t>
      </w:r>
      <w:r w:rsidR="002A7CDC" w:rsidRPr="00EF4D4C">
        <w:rPr>
          <w:rFonts w:ascii="Arial" w:hAnsi="Arial" w:cs="Arial"/>
          <w:b/>
          <w:bCs/>
          <w:i w:val="0"/>
          <w:iCs w:val="0"/>
          <w:color w:val="000000" w:themeColor="text1"/>
          <w:sz w:val="24"/>
          <w:szCs w:val="24"/>
        </w:rPr>
        <w:t>Elementos Constitutivos de la Violencia en Contexto Familiar</w:t>
      </w:r>
      <w:bookmarkEnd w:id="0"/>
    </w:p>
    <w:tbl>
      <w:tblPr>
        <w:tblStyle w:val="Tablaconcuadrcula"/>
        <w:tblW w:w="8647" w:type="dxa"/>
        <w:tblLook w:val="04A0" w:firstRow="1" w:lastRow="0" w:firstColumn="1" w:lastColumn="0" w:noHBand="0" w:noVBand="1"/>
      </w:tblPr>
      <w:tblGrid>
        <w:gridCol w:w="1870"/>
        <w:gridCol w:w="3280"/>
        <w:gridCol w:w="3497"/>
      </w:tblGrid>
      <w:tr w:rsidR="002A7CDC" w:rsidRPr="00EF4D4C" w14:paraId="6B002926" w14:textId="77777777" w:rsidTr="00880BFB">
        <w:trPr>
          <w:trHeight w:val="82"/>
        </w:trPr>
        <w:tc>
          <w:tcPr>
            <w:tcW w:w="0" w:type="auto"/>
            <w:shd w:val="clear" w:color="auto" w:fill="1F3A5F"/>
            <w:hideMark/>
          </w:tcPr>
          <w:p w14:paraId="40BFAC77" w14:textId="77777777" w:rsidR="002A7CDC" w:rsidRPr="00EF4D4C" w:rsidRDefault="002A7CDC"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lastRenderedPageBreak/>
              <w:t>Elemento</w:t>
            </w:r>
          </w:p>
        </w:tc>
        <w:tc>
          <w:tcPr>
            <w:tcW w:w="3320" w:type="dxa"/>
            <w:shd w:val="clear" w:color="auto" w:fill="1F3A5F"/>
            <w:hideMark/>
          </w:tcPr>
          <w:p w14:paraId="14483124" w14:textId="77777777" w:rsidR="002A7CDC" w:rsidRPr="00EF4D4C" w:rsidRDefault="002A7CDC" w:rsidP="00486CEF">
            <w:pPr>
              <w:spacing w:line="276" w:lineRule="auto"/>
              <w:jc w:val="center"/>
              <w:rPr>
                <w:rFonts w:ascii="Arial" w:eastAsia="Times New Roman" w:hAnsi="Arial" w:cs="Arial"/>
                <w:kern w:val="0"/>
                <w:lang w:eastAsia="es-ES_tradnl"/>
                <w14:ligatures w14:val="none"/>
              </w:rPr>
            </w:pPr>
            <w:r w:rsidRPr="00EF4D4C">
              <w:rPr>
                <w:rFonts w:ascii="Arial" w:eastAsia="Times New Roman" w:hAnsi="Arial" w:cs="Arial"/>
                <w:b/>
                <w:bCs/>
                <w:kern w:val="0"/>
                <w:lang w:eastAsia="es-ES_tradnl"/>
                <w14:ligatures w14:val="none"/>
              </w:rPr>
              <w:t>Descripción</w:t>
            </w:r>
          </w:p>
        </w:tc>
        <w:tc>
          <w:tcPr>
            <w:tcW w:w="3544" w:type="dxa"/>
            <w:shd w:val="clear" w:color="auto" w:fill="1F3A5F"/>
            <w:hideMark/>
          </w:tcPr>
          <w:p w14:paraId="3091F8BD" w14:textId="77777777" w:rsidR="002A7CDC" w:rsidRPr="00EF4D4C" w:rsidRDefault="002A7CDC" w:rsidP="00486CEF">
            <w:pPr>
              <w:spacing w:line="276" w:lineRule="auto"/>
              <w:jc w:val="center"/>
              <w:rPr>
                <w:rFonts w:ascii="Arial" w:eastAsia="Times New Roman" w:hAnsi="Arial" w:cs="Arial"/>
                <w:kern w:val="0"/>
                <w:lang w:eastAsia="es-ES_tradnl"/>
                <w14:ligatures w14:val="none"/>
              </w:rPr>
            </w:pPr>
            <w:r w:rsidRPr="00EF4D4C">
              <w:rPr>
                <w:rFonts w:ascii="Arial" w:eastAsia="Times New Roman" w:hAnsi="Arial" w:cs="Arial"/>
                <w:b/>
                <w:bCs/>
                <w:kern w:val="0"/>
                <w:lang w:eastAsia="es-ES_tradnl"/>
                <w14:ligatures w14:val="none"/>
              </w:rPr>
              <w:t>Relevancia Jurídica</w:t>
            </w:r>
          </w:p>
        </w:tc>
      </w:tr>
      <w:tr w:rsidR="002A7CDC" w:rsidRPr="00EF4D4C" w14:paraId="620F21CA" w14:textId="77777777" w:rsidTr="00F64A22">
        <w:tc>
          <w:tcPr>
            <w:tcW w:w="0" w:type="auto"/>
            <w:shd w:val="clear" w:color="auto" w:fill="AEBFD6"/>
            <w:hideMark/>
          </w:tcPr>
          <w:p w14:paraId="00378361" w14:textId="77777777" w:rsidR="002A7CDC" w:rsidRPr="00EF4D4C" w:rsidRDefault="002A7CDC" w:rsidP="00486CEF">
            <w:pPr>
              <w:spacing w:line="276" w:lineRule="auto"/>
              <w:jc w:val="center"/>
              <w:rPr>
                <w:rFonts w:ascii="Arial" w:eastAsia="Times New Roman" w:hAnsi="Arial" w:cs="Arial"/>
                <w:kern w:val="0"/>
                <w:lang w:eastAsia="es-ES_tradnl"/>
                <w14:ligatures w14:val="none"/>
              </w:rPr>
            </w:pPr>
            <w:r w:rsidRPr="00EF4D4C">
              <w:rPr>
                <w:rFonts w:ascii="Arial" w:eastAsia="Times New Roman" w:hAnsi="Arial" w:cs="Arial"/>
                <w:b/>
                <w:bCs/>
                <w:kern w:val="0"/>
                <w:lang w:eastAsia="es-ES_tradnl"/>
                <w14:ligatures w14:val="none"/>
              </w:rPr>
              <w:t>Relacional</w:t>
            </w:r>
          </w:p>
        </w:tc>
        <w:tc>
          <w:tcPr>
            <w:tcW w:w="3320" w:type="dxa"/>
            <w:shd w:val="clear" w:color="auto" w:fill="AEBFD6"/>
            <w:hideMark/>
          </w:tcPr>
          <w:p w14:paraId="6CB7DB5B" w14:textId="77777777" w:rsidR="002A7CDC" w:rsidRPr="00EF4D4C" w:rsidRDefault="002A7CDC"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Existencia de vínculo familiar o análogo al familiar</w:t>
            </w:r>
          </w:p>
        </w:tc>
        <w:tc>
          <w:tcPr>
            <w:tcW w:w="3544" w:type="dxa"/>
            <w:shd w:val="clear" w:color="auto" w:fill="AEBFD6"/>
            <w:hideMark/>
          </w:tcPr>
          <w:p w14:paraId="646717F6" w14:textId="77777777" w:rsidR="002A7CDC" w:rsidRPr="00EF4D4C" w:rsidRDefault="002A7CDC"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Determina la competencia material de la Comisaría</w:t>
            </w:r>
          </w:p>
        </w:tc>
      </w:tr>
      <w:tr w:rsidR="002A7CDC" w:rsidRPr="00EF4D4C" w14:paraId="7AC75B96" w14:textId="77777777" w:rsidTr="00F64A22">
        <w:tc>
          <w:tcPr>
            <w:tcW w:w="0" w:type="auto"/>
            <w:shd w:val="clear" w:color="auto" w:fill="AEBFD6"/>
            <w:hideMark/>
          </w:tcPr>
          <w:p w14:paraId="79903206" w14:textId="77777777" w:rsidR="002A7CDC" w:rsidRPr="00EF4D4C" w:rsidRDefault="002A7CDC" w:rsidP="00486CEF">
            <w:pPr>
              <w:spacing w:line="276" w:lineRule="auto"/>
              <w:jc w:val="center"/>
              <w:rPr>
                <w:rFonts w:ascii="Arial" w:eastAsia="Times New Roman" w:hAnsi="Arial" w:cs="Arial"/>
                <w:kern w:val="0"/>
                <w:lang w:eastAsia="es-ES_tradnl"/>
                <w14:ligatures w14:val="none"/>
              </w:rPr>
            </w:pPr>
            <w:r w:rsidRPr="00EF4D4C">
              <w:rPr>
                <w:rFonts w:ascii="Arial" w:eastAsia="Times New Roman" w:hAnsi="Arial" w:cs="Arial"/>
                <w:b/>
                <w:bCs/>
                <w:kern w:val="0"/>
                <w:lang w:eastAsia="es-ES_tradnl"/>
                <w14:ligatures w14:val="none"/>
              </w:rPr>
              <w:t>Contextual</w:t>
            </w:r>
          </w:p>
        </w:tc>
        <w:tc>
          <w:tcPr>
            <w:tcW w:w="3320" w:type="dxa"/>
            <w:shd w:val="clear" w:color="auto" w:fill="AEBFD6"/>
            <w:hideMark/>
          </w:tcPr>
          <w:p w14:paraId="2BDC02BF" w14:textId="77777777" w:rsidR="002A7CDC" w:rsidRPr="00EF4D4C" w:rsidRDefault="002A7CDC"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La violencia se produce en marco de relación significativa</w:t>
            </w:r>
          </w:p>
        </w:tc>
        <w:tc>
          <w:tcPr>
            <w:tcW w:w="3544" w:type="dxa"/>
            <w:shd w:val="clear" w:color="auto" w:fill="AEBFD6"/>
            <w:hideMark/>
          </w:tcPr>
          <w:p w14:paraId="326228E3" w14:textId="77777777" w:rsidR="002A7CDC" w:rsidRPr="00EF4D4C" w:rsidRDefault="002A7CDC"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Justifica intervención especializada y protección reforzada</w:t>
            </w:r>
          </w:p>
        </w:tc>
      </w:tr>
      <w:tr w:rsidR="002A7CDC" w:rsidRPr="00EF4D4C" w14:paraId="12765281" w14:textId="77777777" w:rsidTr="00F64A22">
        <w:tc>
          <w:tcPr>
            <w:tcW w:w="0" w:type="auto"/>
            <w:shd w:val="clear" w:color="auto" w:fill="AEBFD6"/>
            <w:hideMark/>
          </w:tcPr>
          <w:p w14:paraId="4D118280" w14:textId="77777777" w:rsidR="002A7CDC" w:rsidRPr="00EF4D4C" w:rsidRDefault="002A7CDC" w:rsidP="00486CEF">
            <w:pPr>
              <w:spacing w:line="276" w:lineRule="auto"/>
              <w:jc w:val="center"/>
              <w:rPr>
                <w:rFonts w:ascii="Arial" w:eastAsia="Times New Roman" w:hAnsi="Arial" w:cs="Arial"/>
                <w:kern w:val="0"/>
                <w:lang w:eastAsia="es-ES_tradnl"/>
                <w14:ligatures w14:val="none"/>
              </w:rPr>
            </w:pPr>
            <w:r w:rsidRPr="00EF4D4C">
              <w:rPr>
                <w:rFonts w:ascii="Arial" w:eastAsia="Times New Roman" w:hAnsi="Arial" w:cs="Arial"/>
                <w:b/>
                <w:bCs/>
                <w:kern w:val="0"/>
                <w:lang w:eastAsia="es-ES_tradnl"/>
                <w14:ligatures w14:val="none"/>
              </w:rPr>
              <w:t>Vulnerabilidad</w:t>
            </w:r>
          </w:p>
        </w:tc>
        <w:tc>
          <w:tcPr>
            <w:tcW w:w="3320" w:type="dxa"/>
            <w:shd w:val="clear" w:color="auto" w:fill="AEBFD6"/>
            <w:hideMark/>
          </w:tcPr>
          <w:p w14:paraId="33C84FD4" w14:textId="77777777" w:rsidR="002A7CDC" w:rsidRPr="00EF4D4C" w:rsidRDefault="002A7CDC"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Situación de especial desprotección de la víctima</w:t>
            </w:r>
          </w:p>
        </w:tc>
        <w:tc>
          <w:tcPr>
            <w:tcW w:w="3544" w:type="dxa"/>
            <w:shd w:val="clear" w:color="auto" w:fill="AEBFD6"/>
            <w:hideMark/>
          </w:tcPr>
          <w:p w14:paraId="26AB3E00" w14:textId="77777777" w:rsidR="002A7CDC" w:rsidRPr="00EF4D4C" w:rsidRDefault="002A7CDC"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Activa mecanismos de protección urgente y medidas cautelares</w:t>
            </w:r>
          </w:p>
        </w:tc>
      </w:tr>
      <w:tr w:rsidR="002A7CDC" w:rsidRPr="00EF4D4C" w14:paraId="46124E8B" w14:textId="77777777" w:rsidTr="00F64A22">
        <w:tc>
          <w:tcPr>
            <w:tcW w:w="0" w:type="auto"/>
            <w:shd w:val="clear" w:color="auto" w:fill="AEBFD6"/>
            <w:hideMark/>
          </w:tcPr>
          <w:p w14:paraId="6047E3CC" w14:textId="77777777" w:rsidR="002A7CDC" w:rsidRPr="00EF4D4C" w:rsidRDefault="002A7CDC" w:rsidP="00486CEF">
            <w:pPr>
              <w:spacing w:line="276" w:lineRule="auto"/>
              <w:jc w:val="center"/>
              <w:rPr>
                <w:rFonts w:ascii="Arial" w:eastAsia="Times New Roman" w:hAnsi="Arial" w:cs="Arial"/>
                <w:kern w:val="0"/>
                <w:lang w:eastAsia="es-ES_tradnl"/>
                <w14:ligatures w14:val="none"/>
              </w:rPr>
            </w:pPr>
            <w:r w:rsidRPr="00EF4D4C">
              <w:rPr>
                <w:rFonts w:ascii="Arial" w:eastAsia="Times New Roman" w:hAnsi="Arial" w:cs="Arial"/>
                <w:b/>
                <w:bCs/>
                <w:kern w:val="0"/>
                <w:lang w:eastAsia="es-ES_tradnl"/>
                <w14:ligatures w14:val="none"/>
              </w:rPr>
              <w:t>Asimetría</w:t>
            </w:r>
          </w:p>
        </w:tc>
        <w:tc>
          <w:tcPr>
            <w:tcW w:w="3320" w:type="dxa"/>
            <w:shd w:val="clear" w:color="auto" w:fill="AEBFD6"/>
            <w:hideMark/>
          </w:tcPr>
          <w:p w14:paraId="40FAE725" w14:textId="77777777" w:rsidR="002A7CDC" w:rsidRPr="00EF4D4C" w:rsidRDefault="002A7CDC"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Existencia de desequilibrio de poder en la relación</w:t>
            </w:r>
          </w:p>
        </w:tc>
        <w:tc>
          <w:tcPr>
            <w:tcW w:w="3544" w:type="dxa"/>
            <w:shd w:val="clear" w:color="auto" w:fill="AEBFD6"/>
            <w:hideMark/>
          </w:tcPr>
          <w:p w14:paraId="74824EB4" w14:textId="77777777" w:rsidR="002A7CDC" w:rsidRPr="00EF4D4C" w:rsidRDefault="002A7CDC"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Funda el deber de protección estatal reforzada</w:t>
            </w:r>
          </w:p>
        </w:tc>
      </w:tr>
    </w:tbl>
    <w:p w14:paraId="475C0DC7" w14:textId="1844EDC8" w:rsidR="002A7CDC" w:rsidRPr="00EF4D4C" w:rsidRDefault="002136A2" w:rsidP="002136A2">
      <w:pPr>
        <w:spacing w:line="276" w:lineRule="auto"/>
        <w:jc w:val="center"/>
        <w:rPr>
          <w:rFonts w:ascii="Arial" w:eastAsia="Times New Roman" w:hAnsi="Arial" w:cs="Arial"/>
          <w:b/>
          <w:bCs/>
          <w:color w:val="000000" w:themeColor="text1"/>
          <w:kern w:val="0"/>
          <w:lang w:eastAsia="es-ES_tradnl"/>
          <w14:ligatures w14:val="none"/>
        </w:rPr>
      </w:pPr>
      <w:r w:rsidRPr="00EF4D4C">
        <w:rPr>
          <w:rFonts w:ascii="Arial" w:eastAsia="Times New Roman" w:hAnsi="Arial" w:cs="Arial"/>
          <w:b/>
          <w:bCs/>
          <w:color w:val="000000" w:themeColor="text1"/>
          <w:kern w:val="0"/>
          <w:lang w:eastAsia="es-ES_tradnl"/>
          <w14:ligatures w14:val="none"/>
        </w:rPr>
        <w:t>Elaboración propia, Consorcio Red de Comisarias 2025</w:t>
      </w:r>
    </w:p>
    <w:p w14:paraId="1A767980" w14:textId="77777777" w:rsidR="00023663" w:rsidRPr="00EF4D4C" w:rsidRDefault="00023663" w:rsidP="002136A2">
      <w:pPr>
        <w:spacing w:line="276" w:lineRule="auto"/>
        <w:jc w:val="center"/>
        <w:rPr>
          <w:rFonts w:ascii="Arial" w:eastAsia="Times New Roman" w:hAnsi="Arial" w:cs="Arial"/>
          <w:b/>
          <w:bCs/>
          <w:color w:val="000000" w:themeColor="text1"/>
          <w:kern w:val="0"/>
          <w:lang w:eastAsia="es-ES_tradnl"/>
          <w14:ligatures w14:val="none"/>
        </w:rPr>
      </w:pPr>
    </w:p>
    <w:p w14:paraId="3189589F" w14:textId="71197DF1" w:rsidR="00C42BEC" w:rsidRPr="00EF4D4C" w:rsidRDefault="00023663" w:rsidP="00023663">
      <w:pPr>
        <w:pStyle w:val="Descripcin"/>
        <w:jc w:val="center"/>
        <w:rPr>
          <w:rFonts w:ascii="Arial" w:eastAsia="Times New Roman" w:hAnsi="Arial" w:cs="Arial"/>
          <w:b/>
          <w:bCs/>
          <w:i w:val="0"/>
          <w:iCs w:val="0"/>
          <w:color w:val="000000" w:themeColor="text1"/>
          <w:kern w:val="0"/>
          <w:sz w:val="24"/>
          <w:szCs w:val="24"/>
          <w:lang w:eastAsia="es-ES_tradnl"/>
          <w14:ligatures w14:val="none"/>
        </w:rPr>
      </w:pPr>
      <w:bookmarkStart w:id="1" w:name="_Toc217301469"/>
      <w:r w:rsidRPr="00EF4D4C">
        <w:rPr>
          <w:rFonts w:ascii="Arial" w:hAnsi="Arial" w:cs="Arial"/>
          <w:b/>
          <w:bCs/>
          <w:i w:val="0"/>
          <w:iCs w:val="0"/>
          <w:color w:val="000000" w:themeColor="text1"/>
          <w:sz w:val="24"/>
          <w:szCs w:val="24"/>
        </w:rPr>
        <w:t xml:space="preserve">Tabla </w:t>
      </w:r>
      <w:r w:rsidRPr="00EF4D4C">
        <w:rPr>
          <w:rFonts w:ascii="Arial" w:hAnsi="Arial" w:cs="Arial"/>
          <w:b/>
          <w:bCs/>
          <w:i w:val="0"/>
          <w:iCs w:val="0"/>
          <w:color w:val="000000" w:themeColor="text1"/>
          <w:sz w:val="24"/>
          <w:szCs w:val="24"/>
        </w:rPr>
        <w:fldChar w:fldCharType="begin"/>
      </w:r>
      <w:r w:rsidRPr="00EF4D4C">
        <w:rPr>
          <w:rFonts w:ascii="Arial" w:hAnsi="Arial" w:cs="Arial"/>
          <w:b/>
          <w:bCs/>
          <w:i w:val="0"/>
          <w:iCs w:val="0"/>
          <w:color w:val="000000" w:themeColor="text1"/>
          <w:sz w:val="24"/>
          <w:szCs w:val="24"/>
        </w:rPr>
        <w:instrText xml:space="preserve"> SEQ Tabla \* ARABIC </w:instrText>
      </w:r>
      <w:r w:rsidRPr="00EF4D4C">
        <w:rPr>
          <w:rFonts w:ascii="Arial" w:hAnsi="Arial" w:cs="Arial"/>
          <w:b/>
          <w:bCs/>
          <w:i w:val="0"/>
          <w:iCs w:val="0"/>
          <w:color w:val="000000" w:themeColor="text1"/>
          <w:sz w:val="24"/>
          <w:szCs w:val="24"/>
        </w:rPr>
        <w:fldChar w:fldCharType="separate"/>
      </w:r>
      <w:r w:rsidR="007F5C59" w:rsidRPr="00EF4D4C">
        <w:rPr>
          <w:rFonts w:ascii="Arial" w:hAnsi="Arial" w:cs="Arial"/>
          <w:b/>
          <w:bCs/>
          <w:i w:val="0"/>
          <w:iCs w:val="0"/>
          <w:noProof/>
          <w:color w:val="000000" w:themeColor="text1"/>
          <w:sz w:val="24"/>
          <w:szCs w:val="24"/>
        </w:rPr>
        <w:t>2</w:t>
      </w:r>
      <w:r w:rsidRPr="00EF4D4C">
        <w:rPr>
          <w:rFonts w:ascii="Arial" w:hAnsi="Arial" w:cs="Arial"/>
          <w:b/>
          <w:bCs/>
          <w:i w:val="0"/>
          <w:iCs w:val="0"/>
          <w:color w:val="000000" w:themeColor="text1"/>
          <w:sz w:val="24"/>
          <w:szCs w:val="24"/>
        </w:rPr>
        <w:fldChar w:fldCharType="end"/>
      </w:r>
      <w:r w:rsidRPr="00EF4D4C">
        <w:rPr>
          <w:rFonts w:ascii="Arial" w:hAnsi="Arial" w:cs="Arial"/>
          <w:b/>
          <w:bCs/>
          <w:i w:val="0"/>
          <w:iCs w:val="0"/>
          <w:color w:val="000000" w:themeColor="text1"/>
          <w:sz w:val="24"/>
          <w:szCs w:val="24"/>
        </w:rPr>
        <w:t>.</w:t>
      </w:r>
      <w:r w:rsidR="00C42BEC" w:rsidRPr="00EF4D4C">
        <w:rPr>
          <w:rFonts w:ascii="Arial" w:eastAsia="Times New Roman" w:hAnsi="Arial" w:cs="Arial"/>
          <w:b/>
          <w:bCs/>
          <w:i w:val="0"/>
          <w:iCs w:val="0"/>
          <w:color w:val="000000" w:themeColor="text1"/>
          <w:kern w:val="0"/>
          <w:sz w:val="24"/>
          <w:szCs w:val="24"/>
          <w:lang w:eastAsia="es-ES_tradnl"/>
          <w14:ligatures w14:val="none"/>
        </w:rPr>
        <w:t>Relaciones que Configuran Contexto Familiar según Artículo 5 Ley 2126/2021</w:t>
      </w:r>
      <w:bookmarkEnd w:id="1"/>
    </w:p>
    <w:tbl>
      <w:tblPr>
        <w:tblStyle w:val="Tablaconcuadrcula"/>
        <w:tblW w:w="9072" w:type="dxa"/>
        <w:tblLayout w:type="fixed"/>
        <w:tblLook w:val="04A0" w:firstRow="1" w:lastRow="0" w:firstColumn="1" w:lastColumn="0" w:noHBand="0" w:noVBand="1"/>
      </w:tblPr>
      <w:tblGrid>
        <w:gridCol w:w="1843"/>
        <w:gridCol w:w="3685"/>
        <w:gridCol w:w="3544"/>
      </w:tblGrid>
      <w:tr w:rsidR="00C42BEC" w:rsidRPr="00EF4D4C" w14:paraId="6B89CE93" w14:textId="77777777" w:rsidTr="003870F1">
        <w:tc>
          <w:tcPr>
            <w:tcW w:w="1843" w:type="dxa"/>
            <w:shd w:val="clear" w:color="auto" w:fill="1F3A5F"/>
            <w:hideMark/>
          </w:tcPr>
          <w:p w14:paraId="7D19909E" w14:textId="77777777" w:rsidR="00C42BEC" w:rsidRPr="00EF4D4C" w:rsidRDefault="00C42BEC"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Tipo de Vínculo</w:t>
            </w:r>
          </w:p>
        </w:tc>
        <w:tc>
          <w:tcPr>
            <w:tcW w:w="3685" w:type="dxa"/>
            <w:shd w:val="clear" w:color="auto" w:fill="1F3A5F"/>
            <w:hideMark/>
          </w:tcPr>
          <w:p w14:paraId="58CDFAD4" w14:textId="77777777" w:rsidR="00C42BEC" w:rsidRPr="00EF4D4C" w:rsidRDefault="00C42BEC"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Alcance</w:t>
            </w:r>
          </w:p>
        </w:tc>
        <w:tc>
          <w:tcPr>
            <w:tcW w:w="3544" w:type="dxa"/>
            <w:shd w:val="clear" w:color="auto" w:fill="1F3A5F"/>
            <w:hideMark/>
          </w:tcPr>
          <w:p w14:paraId="711C738D" w14:textId="77777777" w:rsidR="00C42BEC" w:rsidRPr="00EF4D4C" w:rsidRDefault="00C42BEC"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Ejemplos de Aplicación</w:t>
            </w:r>
          </w:p>
        </w:tc>
      </w:tr>
      <w:tr w:rsidR="00C42BEC" w:rsidRPr="00EF4D4C" w14:paraId="11AD2B16" w14:textId="77777777" w:rsidTr="00F64A22">
        <w:tc>
          <w:tcPr>
            <w:tcW w:w="1843" w:type="dxa"/>
            <w:shd w:val="clear" w:color="auto" w:fill="AEBFD6"/>
            <w:hideMark/>
          </w:tcPr>
          <w:p w14:paraId="20C6BC0A" w14:textId="77777777" w:rsidR="00C42BEC" w:rsidRPr="00EF4D4C" w:rsidRDefault="00C42BEC"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Conyugal/</w:t>
            </w:r>
          </w:p>
          <w:p w14:paraId="03288EFF" w14:textId="77777777" w:rsidR="00C42BEC" w:rsidRPr="00EF4D4C" w:rsidRDefault="00C42BEC"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Marital</w:t>
            </w:r>
          </w:p>
        </w:tc>
        <w:tc>
          <w:tcPr>
            <w:tcW w:w="3685" w:type="dxa"/>
            <w:shd w:val="clear" w:color="auto" w:fill="AEBFD6"/>
            <w:hideMark/>
          </w:tcPr>
          <w:p w14:paraId="46028B6D" w14:textId="77777777" w:rsidR="00C42BEC" w:rsidRPr="00EF4D4C" w:rsidRDefault="00C42BEC"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Cónyuges o compañeros permanentes, incluso separados o divorciados</w:t>
            </w:r>
          </w:p>
        </w:tc>
        <w:tc>
          <w:tcPr>
            <w:tcW w:w="3544" w:type="dxa"/>
            <w:shd w:val="clear" w:color="auto" w:fill="AEBFD6"/>
            <w:hideMark/>
          </w:tcPr>
          <w:p w14:paraId="6AABB6AE" w14:textId="77777777" w:rsidR="00C42BEC" w:rsidRPr="00EF4D4C" w:rsidRDefault="00C42BEC" w:rsidP="00486CEF">
            <w:pPr>
              <w:pStyle w:val="Prrafodelista"/>
              <w:numPr>
                <w:ilvl w:val="0"/>
                <w:numId w:val="40"/>
              </w:numPr>
              <w:spacing w:line="276" w:lineRule="auto"/>
              <w:ind w:left="313"/>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Agresión de excónyuge por temas de pensión alimenticia</w:t>
            </w:r>
          </w:p>
          <w:p w14:paraId="588C1923" w14:textId="1A24D9BC" w:rsidR="00C42BEC" w:rsidRPr="00EF4D4C" w:rsidRDefault="00C42BEC" w:rsidP="00486CEF">
            <w:pPr>
              <w:pStyle w:val="Prrafodelista"/>
              <w:numPr>
                <w:ilvl w:val="0"/>
                <w:numId w:val="40"/>
              </w:numPr>
              <w:spacing w:line="276" w:lineRule="auto"/>
              <w:ind w:left="313"/>
              <w:jc w:val="both"/>
              <w:rPr>
                <w:rFonts w:ascii="Arial" w:eastAsia="Times New Roman" w:hAnsi="Arial" w:cs="Arial"/>
                <w:kern w:val="0"/>
                <w:lang w:eastAsia="es-ES"/>
                <w14:ligatures w14:val="none"/>
              </w:rPr>
            </w:pPr>
            <w:r w:rsidRPr="00EF4D4C">
              <w:rPr>
                <w:rFonts w:ascii="Arial" w:eastAsia="Times New Roman" w:hAnsi="Arial" w:cs="Arial"/>
                <w:kern w:val="0"/>
                <w:lang w:eastAsia="es-ES"/>
                <w14:ligatures w14:val="none"/>
              </w:rPr>
              <w:t xml:space="preserve">Hostigamiento </w:t>
            </w:r>
            <w:proofErr w:type="spellStart"/>
            <w:r w:rsidRPr="00EF4D4C">
              <w:rPr>
                <w:rFonts w:ascii="Arial" w:eastAsia="Times New Roman" w:hAnsi="Arial" w:cs="Arial"/>
                <w:lang w:eastAsia="es-ES"/>
              </w:rPr>
              <w:t>post-separación</w:t>
            </w:r>
            <w:proofErr w:type="spellEnd"/>
            <w:r w:rsidRPr="00EF4D4C">
              <w:rPr>
                <w:rFonts w:ascii="Arial" w:eastAsia="Times New Roman" w:hAnsi="Arial" w:cs="Arial"/>
                <w:lang w:eastAsia="es-ES"/>
              </w:rPr>
              <w:t xml:space="preserve"> después de divorcio</w:t>
            </w:r>
            <w:r w:rsidR="76C1D408" w:rsidRPr="00EF4D4C">
              <w:rPr>
                <w:rFonts w:ascii="Arial" w:eastAsia="Times New Roman" w:hAnsi="Arial" w:cs="Arial"/>
                <w:lang w:eastAsia="es-ES"/>
              </w:rPr>
              <w:t xml:space="preserve"> o separación</w:t>
            </w:r>
          </w:p>
        </w:tc>
      </w:tr>
      <w:tr w:rsidR="00C42BEC" w:rsidRPr="00EF4D4C" w14:paraId="1778C98E" w14:textId="77777777" w:rsidTr="00F64A22">
        <w:tc>
          <w:tcPr>
            <w:tcW w:w="1843" w:type="dxa"/>
            <w:shd w:val="clear" w:color="auto" w:fill="AEBFD6"/>
            <w:hideMark/>
          </w:tcPr>
          <w:p w14:paraId="3B5A9687" w14:textId="77777777" w:rsidR="00C42BEC" w:rsidRPr="00EF4D4C" w:rsidRDefault="00C42BEC"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Parental</w:t>
            </w:r>
          </w:p>
        </w:tc>
        <w:tc>
          <w:tcPr>
            <w:tcW w:w="3685" w:type="dxa"/>
            <w:shd w:val="clear" w:color="auto" w:fill="AEBFD6"/>
            <w:hideMark/>
          </w:tcPr>
          <w:p w14:paraId="1D4D80FA" w14:textId="77777777" w:rsidR="00C42BEC" w:rsidRPr="00EF4D4C" w:rsidRDefault="00C42BEC"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Padres y madres, con o sin convivencia</w:t>
            </w:r>
          </w:p>
        </w:tc>
        <w:tc>
          <w:tcPr>
            <w:tcW w:w="3544" w:type="dxa"/>
            <w:shd w:val="clear" w:color="auto" w:fill="AEBFD6"/>
            <w:hideMark/>
          </w:tcPr>
          <w:p w14:paraId="4159B8AF" w14:textId="77777777" w:rsidR="00C42BEC" w:rsidRPr="00EF4D4C" w:rsidRDefault="00C42BEC" w:rsidP="00486CEF">
            <w:pPr>
              <w:pStyle w:val="Prrafodelista"/>
              <w:numPr>
                <w:ilvl w:val="0"/>
                <w:numId w:val="40"/>
              </w:numPr>
              <w:spacing w:line="276" w:lineRule="auto"/>
              <w:ind w:left="313"/>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Padre que nunca convivió agrede a madre por decisiones sobre el hijo</w:t>
            </w:r>
          </w:p>
          <w:p w14:paraId="2A0EDE74" w14:textId="77777777" w:rsidR="00C42BEC" w:rsidRPr="00EF4D4C" w:rsidRDefault="00C42BEC" w:rsidP="00486CEF">
            <w:pPr>
              <w:pStyle w:val="Prrafodelista"/>
              <w:numPr>
                <w:ilvl w:val="0"/>
                <w:numId w:val="40"/>
              </w:numPr>
              <w:spacing w:line="276" w:lineRule="auto"/>
              <w:ind w:left="313"/>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Disputas violentas sobre custodia entre progenitores separados</w:t>
            </w:r>
          </w:p>
        </w:tc>
      </w:tr>
      <w:tr w:rsidR="00C42BEC" w:rsidRPr="00EF4D4C" w14:paraId="7F9A4ADF" w14:textId="77777777" w:rsidTr="00F64A22">
        <w:tc>
          <w:tcPr>
            <w:tcW w:w="1843" w:type="dxa"/>
            <w:shd w:val="clear" w:color="auto" w:fill="AEBFD6"/>
            <w:hideMark/>
          </w:tcPr>
          <w:p w14:paraId="0FD91605" w14:textId="77777777" w:rsidR="00C42BEC" w:rsidRPr="00EF4D4C" w:rsidRDefault="00C42BEC"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Cuidado</w:t>
            </w:r>
          </w:p>
        </w:tc>
        <w:tc>
          <w:tcPr>
            <w:tcW w:w="3685" w:type="dxa"/>
            <w:shd w:val="clear" w:color="auto" w:fill="AEBFD6"/>
            <w:hideMark/>
          </w:tcPr>
          <w:p w14:paraId="162E7198" w14:textId="0203C316" w:rsidR="00C42BEC" w:rsidRPr="00EF4D4C" w:rsidRDefault="06BDD0AA" w:rsidP="00486CEF">
            <w:pPr>
              <w:spacing w:line="276" w:lineRule="auto"/>
              <w:jc w:val="both"/>
              <w:rPr>
                <w:rFonts w:ascii="Arial" w:eastAsia="Times New Roman" w:hAnsi="Arial" w:cs="Arial"/>
                <w:kern w:val="0"/>
                <w:lang w:eastAsia="es-ES"/>
                <w14:ligatures w14:val="none"/>
              </w:rPr>
            </w:pPr>
            <w:r w:rsidRPr="00EF4D4C">
              <w:rPr>
                <w:rFonts w:ascii="Arial" w:eastAsia="Times New Roman" w:hAnsi="Arial" w:cs="Arial"/>
                <w:kern w:val="0"/>
                <w:lang w:eastAsia="es-ES"/>
                <w14:ligatures w14:val="none"/>
              </w:rPr>
              <w:t>Personas encargadas del cuidado, sin parentesco</w:t>
            </w:r>
            <w:r w:rsidR="72BD201C" w:rsidRPr="00EF4D4C">
              <w:rPr>
                <w:rFonts w:ascii="Arial" w:eastAsia="Times New Roman" w:hAnsi="Arial" w:cs="Arial"/>
                <w:lang w:eastAsia="es-ES"/>
              </w:rPr>
              <w:t xml:space="preserve"> en su domicilio o en cualquier lugar, dentro de la </w:t>
            </w:r>
            <w:r w:rsidR="6CFC6D48" w:rsidRPr="00EF4D4C">
              <w:rPr>
                <w:rFonts w:ascii="Arial" w:eastAsia="Times New Roman" w:hAnsi="Arial" w:cs="Arial"/>
                <w:lang w:eastAsia="es-ES"/>
              </w:rPr>
              <w:t xml:space="preserve">dinámica de un </w:t>
            </w:r>
            <w:r w:rsidR="58CA3C11" w:rsidRPr="00EF4D4C">
              <w:rPr>
                <w:rFonts w:ascii="Arial" w:eastAsia="Times New Roman" w:hAnsi="Arial" w:cs="Arial"/>
                <w:lang w:eastAsia="es-ES"/>
              </w:rPr>
              <w:t xml:space="preserve">diario </w:t>
            </w:r>
            <w:r w:rsidR="6CFC6D48" w:rsidRPr="00EF4D4C">
              <w:rPr>
                <w:rFonts w:ascii="Arial" w:eastAsia="Times New Roman" w:hAnsi="Arial" w:cs="Arial"/>
                <w:lang w:eastAsia="es-ES"/>
              </w:rPr>
              <w:t>vivir</w:t>
            </w:r>
            <w:r w:rsidR="3BA0AA76" w:rsidRPr="00EF4D4C">
              <w:rPr>
                <w:rFonts w:ascii="Arial" w:eastAsia="Times New Roman" w:hAnsi="Arial" w:cs="Arial"/>
                <w:lang w:eastAsia="es-ES"/>
              </w:rPr>
              <w:t>, así no residan bajo el mismo techo</w:t>
            </w:r>
            <w:r w:rsidR="6CFC6D48" w:rsidRPr="00EF4D4C">
              <w:rPr>
                <w:rFonts w:ascii="Arial" w:eastAsia="Times New Roman" w:hAnsi="Arial" w:cs="Arial"/>
                <w:lang w:eastAsia="es-ES"/>
              </w:rPr>
              <w:t xml:space="preserve"> </w:t>
            </w:r>
          </w:p>
        </w:tc>
        <w:tc>
          <w:tcPr>
            <w:tcW w:w="3544" w:type="dxa"/>
            <w:shd w:val="clear" w:color="auto" w:fill="AEBFD6"/>
            <w:hideMark/>
          </w:tcPr>
          <w:p w14:paraId="0EC89B67" w14:textId="6A955F36" w:rsidR="00C42BEC" w:rsidRPr="00EF4D4C" w:rsidRDefault="06BDD0AA" w:rsidP="00486CEF">
            <w:pPr>
              <w:pStyle w:val="Prrafodelista"/>
              <w:numPr>
                <w:ilvl w:val="0"/>
                <w:numId w:val="40"/>
              </w:numPr>
              <w:spacing w:line="276" w:lineRule="auto"/>
              <w:ind w:left="313"/>
              <w:jc w:val="both"/>
              <w:rPr>
                <w:rFonts w:ascii="Arial" w:eastAsia="Times New Roman" w:hAnsi="Arial" w:cs="Arial"/>
                <w:kern w:val="0"/>
                <w:lang w:eastAsia="es-ES"/>
                <w14:ligatures w14:val="none"/>
              </w:rPr>
            </w:pPr>
            <w:r w:rsidRPr="00EF4D4C">
              <w:rPr>
                <w:rFonts w:ascii="Arial" w:eastAsia="Times New Roman" w:hAnsi="Arial" w:cs="Arial"/>
                <w:kern w:val="0"/>
                <w:lang w:eastAsia="es-ES"/>
                <w14:ligatures w14:val="none"/>
              </w:rPr>
              <w:t>Cuidador</w:t>
            </w:r>
            <w:r w:rsidR="34BFC3E6" w:rsidRPr="00EF4D4C">
              <w:rPr>
                <w:rFonts w:ascii="Arial" w:eastAsia="Times New Roman" w:hAnsi="Arial" w:cs="Arial"/>
                <w:lang w:eastAsia="es-ES"/>
              </w:rPr>
              <w:t xml:space="preserve">es, profesionales de la salud que cuidan a los miembros de la </w:t>
            </w:r>
            <w:r w:rsidR="76BE6E83" w:rsidRPr="00EF4D4C">
              <w:rPr>
                <w:rFonts w:ascii="Arial" w:eastAsia="Times New Roman" w:hAnsi="Arial" w:cs="Arial"/>
                <w:lang w:eastAsia="es-ES"/>
              </w:rPr>
              <w:t>familia</w:t>
            </w:r>
          </w:p>
          <w:p w14:paraId="40FE8753" w14:textId="42CF4BCB" w:rsidR="00C42BEC" w:rsidRPr="00EF4D4C" w:rsidRDefault="06BDD0AA" w:rsidP="00C532E8">
            <w:pPr>
              <w:pStyle w:val="Prrafodelista"/>
              <w:numPr>
                <w:ilvl w:val="0"/>
                <w:numId w:val="40"/>
              </w:numPr>
              <w:spacing w:line="276" w:lineRule="auto"/>
              <w:ind w:left="313"/>
              <w:jc w:val="both"/>
              <w:rPr>
                <w:rFonts w:ascii="Arial" w:eastAsia="Times New Roman" w:hAnsi="Arial" w:cs="Arial"/>
                <w:lang w:eastAsia="es-ES"/>
              </w:rPr>
            </w:pPr>
            <w:r w:rsidRPr="00EF4D4C">
              <w:rPr>
                <w:rFonts w:ascii="Arial" w:eastAsia="Times New Roman" w:hAnsi="Arial" w:cs="Arial"/>
                <w:kern w:val="0"/>
                <w:lang w:eastAsia="es-ES"/>
                <w14:ligatures w14:val="none"/>
              </w:rPr>
              <w:t xml:space="preserve">Empleada </w:t>
            </w:r>
            <w:r w:rsidR="1A92D841" w:rsidRPr="00EF4D4C">
              <w:rPr>
                <w:rFonts w:ascii="Arial" w:eastAsia="Times New Roman" w:hAnsi="Arial" w:cs="Arial"/>
                <w:lang w:eastAsia="es-ES"/>
              </w:rPr>
              <w:t xml:space="preserve">doméstica del grupo familiar. </w:t>
            </w:r>
          </w:p>
        </w:tc>
      </w:tr>
      <w:tr w:rsidR="00C42BEC" w:rsidRPr="00EF4D4C" w14:paraId="6DAA33FC" w14:textId="77777777" w:rsidTr="00F64A22">
        <w:tc>
          <w:tcPr>
            <w:tcW w:w="1843" w:type="dxa"/>
            <w:shd w:val="clear" w:color="auto" w:fill="AEBFD6"/>
            <w:hideMark/>
          </w:tcPr>
          <w:p w14:paraId="5D375767" w14:textId="77777777" w:rsidR="00C42BEC" w:rsidRPr="00EF4D4C" w:rsidRDefault="00C42BEC"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Convivencia</w:t>
            </w:r>
          </w:p>
        </w:tc>
        <w:tc>
          <w:tcPr>
            <w:tcW w:w="3685" w:type="dxa"/>
            <w:shd w:val="clear" w:color="auto" w:fill="AEBFD6"/>
            <w:hideMark/>
          </w:tcPr>
          <w:p w14:paraId="2F20F724" w14:textId="77777777" w:rsidR="00C42BEC" w:rsidRPr="00EF4D4C" w:rsidRDefault="00C42BEC"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Personas que residen en mismo hogar sin parentesco</w:t>
            </w:r>
          </w:p>
        </w:tc>
        <w:tc>
          <w:tcPr>
            <w:tcW w:w="3544" w:type="dxa"/>
            <w:shd w:val="clear" w:color="auto" w:fill="AEBFD6"/>
            <w:hideMark/>
          </w:tcPr>
          <w:p w14:paraId="43BABB24" w14:textId="068D381B" w:rsidR="00C42BEC" w:rsidRPr="00EF4D4C" w:rsidRDefault="58D7018C" w:rsidP="00486CEF">
            <w:pPr>
              <w:pStyle w:val="Prrafodelista"/>
              <w:numPr>
                <w:ilvl w:val="0"/>
                <w:numId w:val="40"/>
              </w:numPr>
              <w:spacing w:line="276" w:lineRule="auto"/>
              <w:ind w:left="313"/>
              <w:jc w:val="both"/>
              <w:rPr>
                <w:rFonts w:ascii="Arial" w:eastAsia="Times New Roman" w:hAnsi="Arial" w:cs="Arial"/>
                <w:kern w:val="0"/>
                <w:lang w:eastAsia="es-ES"/>
                <w14:ligatures w14:val="none"/>
              </w:rPr>
            </w:pPr>
            <w:r w:rsidRPr="00EF4D4C">
              <w:rPr>
                <w:rFonts w:ascii="Arial" w:eastAsia="Times New Roman" w:hAnsi="Arial" w:cs="Arial"/>
                <w:lang w:eastAsia="es-ES"/>
              </w:rPr>
              <w:t>Familia de crianza</w:t>
            </w:r>
          </w:p>
        </w:tc>
      </w:tr>
      <w:tr w:rsidR="00C42BEC" w:rsidRPr="00EF4D4C" w14:paraId="2A028730" w14:textId="77777777" w:rsidTr="00F64A22">
        <w:tc>
          <w:tcPr>
            <w:tcW w:w="1843" w:type="dxa"/>
            <w:shd w:val="clear" w:color="auto" w:fill="AEBFD6"/>
            <w:hideMark/>
          </w:tcPr>
          <w:p w14:paraId="35993792" w14:textId="77777777" w:rsidR="00C42BEC" w:rsidRPr="00EF4D4C" w:rsidRDefault="00C42BEC"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Afectivo</w:t>
            </w:r>
          </w:p>
        </w:tc>
        <w:tc>
          <w:tcPr>
            <w:tcW w:w="3685" w:type="dxa"/>
            <w:shd w:val="clear" w:color="auto" w:fill="AEBFD6"/>
            <w:hideMark/>
          </w:tcPr>
          <w:p w14:paraId="51F59A9A" w14:textId="5F25B095" w:rsidR="00C42BEC" w:rsidRPr="00EF4D4C" w:rsidRDefault="06BDD0AA" w:rsidP="00486CEF">
            <w:pPr>
              <w:spacing w:line="276" w:lineRule="auto"/>
              <w:jc w:val="both"/>
              <w:rPr>
                <w:rFonts w:ascii="Arial" w:eastAsia="Times New Roman" w:hAnsi="Arial" w:cs="Arial"/>
                <w:kern w:val="0"/>
                <w:lang w:eastAsia="es-ES"/>
                <w14:ligatures w14:val="none"/>
              </w:rPr>
            </w:pPr>
            <w:r w:rsidRPr="00EF4D4C">
              <w:rPr>
                <w:rFonts w:ascii="Arial" w:eastAsia="Times New Roman" w:hAnsi="Arial" w:cs="Arial"/>
                <w:kern w:val="0"/>
                <w:lang w:eastAsia="es-ES"/>
                <w14:ligatures w14:val="none"/>
              </w:rPr>
              <w:t xml:space="preserve">Relaciones de pareja </w:t>
            </w:r>
            <w:r w:rsidR="3CAF6FD0" w:rsidRPr="00EF4D4C">
              <w:rPr>
                <w:rFonts w:ascii="Arial" w:eastAsia="Times New Roman" w:hAnsi="Arial" w:cs="Arial"/>
                <w:lang w:eastAsia="es-ES"/>
              </w:rPr>
              <w:t xml:space="preserve">actuales o pasadas, de </w:t>
            </w:r>
            <w:r w:rsidR="79B32BE6" w:rsidRPr="00EF4D4C">
              <w:rPr>
                <w:rFonts w:ascii="Arial" w:eastAsia="Times New Roman" w:hAnsi="Arial" w:cs="Arial"/>
                <w:lang w:eastAsia="es-ES"/>
              </w:rPr>
              <w:t>carácter</w:t>
            </w:r>
            <w:r w:rsidR="3CAF6FD0" w:rsidRPr="00EF4D4C">
              <w:rPr>
                <w:rFonts w:ascii="Arial" w:eastAsia="Times New Roman" w:hAnsi="Arial" w:cs="Arial"/>
                <w:lang w:eastAsia="es-ES"/>
              </w:rPr>
              <w:t xml:space="preserve"> </w:t>
            </w:r>
            <w:r w:rsidR="3CAF6FD0" w:rsidRPr="00EF4D4C">
              <w:rPr>
                <w:rFonts w:ascii="Arial" w:eastAsia="Times New Roman" w:hAnsi="Arial" w:cs="Arial"/>
                <w:lang w:eastAsia="es-ES"/>
              </w:rPr>
              <w:lastRenderedPageBreak/>
              <w:t>permanente</w:t>
            </w:r>
            <w:r w:rsidR="460E92BD" w:rsidRPr="00EF4D4C">
              <w:rPr>
                <w:rFonts w:ascii="Arial" w:eastAsia="Times New Roman" w:hAnsi="Arial" w:cs="Arial"/>
                <w:lang w:eastAsia="es-ES"/>
              </w:rPr>
              <w:t xml:space="preserve"> y con clara e </w:t>
            </w:r>
            <w:r w:rsidR="411DFCE9" w:rsidRPr="00EF4D4C">
              <w:rPr>
                <w:rFonts w:ascii="Arial" w:eastAsia="Times New Roman" w:hAnsi="Arial" w:cs="Arial"/>
                <w:lang w:eastAsia="es-ES"/>
              </w:rPr>
              <w:t>inequívoca</w:t>
            </w:r>
            <w:r w:rsidR="460E92BD" w:rsidRPr="00EF4D4C">
              <w:rPr>
                <w:rFonts w:ascii="Arial" w:eastAsia="Times New Roman" w:hAnsi="Arial" w:cs="Arial"/>
                <w:lang w:eastAsia="es-ES"/>
              </w:rPr>
              <w:t xml:space="preserve"> vocación de estabilidad </w:t>
            </w:r>
            <w:r w:rsidR="3CAF6FD0" w:rsidRPr="00EF4D4C">
              <w:rPr>
                <w:rFonts w:ascii="Arial" w:eastAsia="Times New Roman" w:hAnsi="Arial" w:cs="Arial"/>
                <w:lang w:eastAsia="es-ES"/>
              </w:rPr>
              <w:t xml:space="preserve"> </w:t>
            </w:r>
          </w:p>
        </w:tc>
        <w:tc>
          <w:tcPr>
            <w:tcW w:w="3544" w:type="dxa"/>
            <w:shd w:val="clear" w:color="auto" w:fill="AEBFD6"/>
            <w:hideMark/>
          </w:tcPr>
          <w:p w14:paraId="62C7E755" w14:textId="32F6D082" w:rsidR="00C42BEC" w:rsidRPr="00EF4D4C" w:rsidRDefault="06BDD0AA" w:rsidP="00486CEF">
            <w:pPr>
              <w:pStyle w:val="Prrafodelista"/>
              <w:numPr>
                <w:ilvl w:val="0"/>
                <w:numId w:val="40"/>
              </w:numPr>
              <w:spacing w:line="276" w:lineRule="auto"/>
              <w:ind w:left="313"/>
              <w:jc w:val="both"/>
              <w:rPr>
                <w:rFonts w:ascii="Arial" w:eastAsia="Times New Roman" w:hAnsi="Arial" w:cs="Arial"/>
                <w:kern w:val="0"/>
                <w:lang w:eastAsia="es-ES"/>
                <w14:ligatures w14:val="none"/>
              </w:rPr>
            </w:pPr>
            <w:r w:rsidRPr="00EF4D4C">
              <w:rPr>
                <w:rFonts w:ascii="Arial" w:eastAsia="Times New Roman" w:hAnsi="Arial" w:cs="Arial"/>
                <w:kern w:val="0"/>
                <w:lang w:eastAsia="es-ES"/>
                <w14:ligatures w14:val="none"/>
              </w:rPr>
              <w:lastRenderedPageBreak/>
              <w:t>Novio</w:t>
            </w:r>
            <w:r w:rsidR="08061258" w:rsidRPr="00EF4D4C">
              <w:rPr>
                <w:rFonts w:ascii="Arial" w:eastAsia="Times New Roman" w:hAnsi="Arial" w:cs="Arial"/>
                <w:lang w:eastAsia="es-ES"/>
              </w:rPr>
              <w:t xml:space="preserve"> o novia</w:t>
            </w:r>
            <w:r w:rsidRPr="00EF4D4C">
              <w:rPr>
                <w:rFonts w:ascii="Arial" w:eastAsia="Times New Roman" w:hAnsi="Arial" w:cs="Arial"/>
                <w:lang w:eastAsia="es-ES"/>
              </w:rPr>
              <w:t xml:space="preserve"> que después de 2 años de relación </w:t>
            </w:r>
            <w:r w:rsidRPr="00EF4D4C">
              <w:rPr>
                <w:rFonts w:ascii="Arial" w:eastAsia="Times New Roman" w:hAnsi="Arial" w:cs="Arial"/>
                <w:lang w:eastAsia="es-ES"/>
              </w:rPr>
              <w:lastRenderedPageBreak/>
              <w:t>estable ejerce control financiero</w:t>
            </w:r>
          </w:p>
        </w:tc>
      </w:tr>
    </w:tbl>
    <w:p w14:paraId="5ECBB50E" w14:textId="77777777" w:rsidR="00023663" w:rsidRPr="00EF4D4C" w:rsidRDefault="00023663" w:rsidP="00023663">
      <w:pPr>
        <w:spacing w:line="276" w:lineRule="auto"/>
        <w:jc w:val="center"/>
        <w:rPr>
          <w:rFonts w:ascii="Arial" w:eastAsia="Times New Roman" w:hAnsi="Arial" w:cs="Arial"/>
          <w:b/>
          <w:bCs/>
          <w:color w:val="000000" w:themeColor="text1"/>
          <w:kern w:val="0"/>
          <w:lang w:eastAsia="es-ES_tradnl"/>
          <w14:ligatures w14:val="none"/>
        </w:rPr>
      </w:pPr>
      <w:r w:rsidRPr="00EF4D4C">
        <w:rPr>
          <w:rFonts w:ascii="Arial" w:eastAsia="Times New Roman" w:hAnsi="Arial" w:cs="Arial"/>
          <w:b/>
          <w:bCs/>
          <w:color w:val="000000" w:themeColor="text1"/>
          <w:kern w:val="0"/>
          <w:lang w:eastAsia="es-ES_tradnl"/>
          <w14:ligatures w14:val="none"/>
        </w:rPr>
        <w:lastRenderedPageBreak/>
        <w:t>Elaboración propia, Consorcio Red de Comisarias 2025</w:t>
      </w:r>
    </w:p>
    <w:p w14:paraId="3E091813" w14:textId="77777777" w:rsidR="00C42BEC" w:rsidRPr="00EF4D4C" w:rsidRDefault="00C42BEC" w:rsidP="00486CEF">
      <w:pPr>
        <w:spacing w:line="276" w:lineRule="auto"/>
        <w:jc w:val="both"/>
        <w:rPr>
          <w:rFonts w:ascii="Arial" w:eastAsia="Times New Roman" w:hAnsi="Arial" w:cs="Arial"/>
          <w:b/>
          <w:bCs/>
          <w:color w:val="F9FAFB"/>
          <w:kern w:val="0"/>
          <w:lang w:eastAsia="es-ES_tradnl"/>
          <w14:ligatures w14:val="none"/>
        </w:rPr>
      </w:pPr>
    </w:p>
    <w:p w14:paraId="7DED705C" w14:textId="31A13B43" w:rsidR="00C42BEC" w:rsidRPr="00EF4D4C" w:rsidRDefault="00023663" w:rsidP="00023663">
      <w:pPr>
        <w:pStyle w:val="Descripcin"/>
        <w:jc w:val="center"/>
        <w:rPr>
          <w:rFonts w:ascii="Arial" w:eastAsia="Times New Roman" w:hAnsi="Arial" w:cs="Arial"/>
          <w:b/>
          <w:bCs/>
          <w:i w:val="0"/>
          <w:iCs w:val="0"/>
          <w:color w:val="000000" w:themeColor="text1"/>
          <w:kern w:val="0"/>
          <w:sz w:val="24"/>
          <w:szCs w:val="24"/>
          <w:lang w:eastAsia="es-ES_tradnl"/>
          <w14:ligatures w14:val="none"/>
        </w:rPr>
      </w:pPr>
      <w:bookmarkStart w:id="2" w:name="_Toc217301470"/>
      <w:r w:rsidRPr="00EF4D4C">
        <w:rPr>
          <w:rFonts w:ascii="Arial" w:hAnsi="Arial" w:cs="Arial"/>
          <w:b/>
          <w:bCs/>
          <w:i w:val="0"/>
          <w:iCs w:val="0"/>
          <w:color w:val="000000" w:themeColor="text1"/>
          <w:sz w:val="24"/>
          <w:szCs w:val="24"/>
        </w:rPr>
        <w:t xml:space="preserve">Tabla </w:t>
      </w:r>
      <w:r w:rsidRPr="00EF4D4C">
        <w:rPr>
          <w:rFonts w:ascii="Arial" w:hAnsi="Arial" w:cs="Arial"/>
          <w:b/>
          <w:bCs/>
          <w:i w:val="0"/>
          <w:iCs w:val="0"/>
          <w:color w:val="000000" w:themeColor="text1"/>
          <w:sz w:val="24"/>
          <w:szCs w:val="24"/>
        </w:rPr>
        <w:fldChar w:fldCharType="begin"/>
      </w:r>
      <w:r w:rsidRPr="00EF4D4C">
        <w:rPr>
          <w:rFonts w:ascii="Arial" w:hAnsi="Arial" w:cs="Arial"/>
          <w:b/>
          <w:bCs/>
          <w:i w:val="0"/>
          <w:iCs w:val="0"/>
          <w:color w:val="000000" w:themeColor="text1"/>
          <w:sz w:val="24"/>
          <w:szCs w:val="24"/>
        </w:rPr>
        <w:instrText xml:space="preserve"> SEQ Tabla \* ARABIC </w:instrText>
      </w:r>
      <w:r w:rsidRPr="00EF4D4C">
        <w:rPr>
          <w:rFonts w:ascii="Arial" w:hAnsi="Arial" w:cs="Arial"/>
          <w:b/>
          <w:bCs/>
          <w:i w:val="0"/>
          <w:iCs w:val="0"/>
          <w:color w:val="000000" w:themeColor="text1"/>
          <w:sz w:val="24"/>
          <w:szCs w:val="24"/>
        </w:rPr>
        <w:fldChar w:fldCharType="separate"/>
      </w:r>
      <w:r w:rsidR="007F5C59" w:rsidRPr="00EF4D4C">
        <w:rPr>
          <w:rFonts w:ascii="Arial" w:hAnsi="Arial" w:cs="Arial"/>
          <w:b/>
          <w:bCs/>
          <w:i w:val="0"/>
          <w:iCs w:val="0"/>
          <w:noProof/>
          <w:color w:val="000000" w:themeColor="text1"/>
          <w:sz w:val="24"/>
          <w:szCs w:val="24"/>
        </w:rPr>
        <w:t>3</w:t>
      </w:r>
      <w:r w:rsidRPr="00EF4D4C">
        <w:rPr>
          <w:rFonts w:ascii="Arial" w:hAnsi="Arial" w:cs="Arial"/>
          <w:b/>
          <w:bCs/>
          <w:i w:val="0"/>
          <w:iCs w:val="0"/>
          <w:color w:val="000000" w:themeColor="text1"/>
          <w:sz w:val="24"/>
          <w:szCs w:val="24"/>
        </w:rPr>
        <w:fldChar w:fldCharType="end"/>
      </w:r>
      <w:r w:rsidRPr="00EF4D4C">
        <w:rPr>
          <w:rFonts w:ascii="Arial" w:hAnsi="Arial" w:cs="Arial"/>
          <w:b/>
          <w:bCs/>
          <w:i w:val="0"/>
          <w:iCs w:val="0"/>
          <w:color w:val="000000" w:themeColor="text1"/>
          <w:sz w:val="24"/>
          <w:szCs w:val="24"/>
        </w:rPr>
        <w:t>.</w:t>
      </w:r>
      <w:r w:rsidR="00C42BEC" w:rsidRPr="00EF4D4C">
        <w:rPr>
          <w:rFonts w:ascii="Arial" w:eastAsia="Times New Roman" w:hAnsi="Arial" w:cs="Arial"/>
          <w:b/>
          <w:bCs/>
          <w:i w:val="0"/>
          <w:iCs w:val="0"/>
          <w:color w:val="000000" w:themeColor="text1"/>
          <w:kern w:val="0"/>
          <w:sz w:val="24"/>
          <w:szCs w:val="24"/>
          <w:lang w:eastAsia="es-ES_tradnl"/>
          <w14:ligatures w14:val="none"/>
        </w:rPr>
        <w:t>Resolución de Casos de Difícil Configuración</w:t>
      </w:r>
      <w:bookmarkEnd w:id="2"/>
    </w:p>
    <w:tbl>
      <w:tblPr>
        <w:tblStyle w:val="Tablaconcuadrcula"/>
        <w:tblW w:w="9213" w:type="dxa"/>
        <w:tblLook w:val="04A0" w:firstRow="1" w:lastRow="0" w:firstColumn="1" w:lastColumn="0" w:noHBand="0" w:noVBand="1"/>
      </w:tblPr>
      <w:tblGrid>
        <w:gridCol w:w="2638"/>
        <w:gridCol w:w="3174"/>
        <w:gridCol w:w="3401"/>
      </w:tblGrid>
      <w:tr w:rsidR="00C42BEC" w:rsidRPr="00EF4D4C" w14:paraId="5B406861" w14:textId="77777777" w:rsidTr="003870F1">
        <w:tc>
          <w:tcPr>
            <w:tcW w:w="2638" w:type="dxa"/>
            <w:shd w:val="clear" w:color="auto" w:fill="1F3A5F"/>
            <w:hideMark/>
          </w:tcPr>
          <w:p w14:paraId="18FC6300" w14:textId="77777777" w:rsidR="00C42BEC" w:rsidRPr="00EF4D4C" w:rsidRDefault="00C42BEC"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Caso Límite</w:t>
            </w:r>
          </w:p>
        </w:tc>
        <w:tc>
          <w:tcPr>
            <w:tcW w:w="3174" w:type="dxa"/>
            <w:shd w:val="clear" w:color="auto" w:fill="1F3A5F"/>
            <w:hideMark/>
          </w:tcPr>
          <w:p w14:paraId="256EA7EE" w14:textId="77777777" w:rsidR="00C42BEC" w:rsidRPr="00EF4D4C" w:rsidRDefault="00C42BEC" w:rsidP="00486CEF">
            <w:pPr>
              <w:spacing w:line="276" w:lineRule="auto"/>
              <w:jc w:val="center"/>
              <w:rPr>
                <w:rFonts w:ascii="Arial" w:eastAsia="Times New Roman" w:hAnsi="Arial" w:cs="Arial"/>
                <w:kern w:val="0"/>
                <w:lang w:eastAsia="es-ES_tradnl"/>
                <w14:ligatures w14:val="none"/>
              </w:rPr>
            </w:pPr>
            <w:r w:rsidRPr="00EF4D4C">
              <w:rPr>
                <w:rFonts w:ascii="Arial" w:eastAsia="Times New Roman" w:hAnsi="Arial" w:cs="Arial"/>
                <w:b/>
                <w:bCs/>
                <w:kern w:val="0"/>
                <w:lang w:eastAsia="es-ES_tradnl"/>
                <w14:ligatures w14:val="none"/>
              </w:rPr>
              <w:t>Análisis</w:t>
            </w:r>
          </w:p>
        </w:tc>
        <w:tc>
          <w:tcPr>
            <w:tcW w:w="0" w:type="auto"/>
            <w:shd w:val="clear" w:color="auto" w:fill="1F3A5F"/>
            <w:hideMark/>
          </w:tcPr>
          <w:p w14:paraId="212D2064" w14:textId="77777777" w:rsidR="00C42BEC" w:rsidRPr="00EF4D4C" w:rsidRDefault="00C42BEC" w:rsidP="00486CEF">
            <w:pPr>
              <w:spacing w:line="276" w:lineRule="auto"/>
              <w:jc w:val="center"/>
              <w:rPr>
                <w:rFonts w:ascii="Arial" w:eastAsia="Times New Roman" w:hAnsi="Arial" w:cs="Arial"/>
                <w:kern w:val="0"/>
                <w:lang w:eastAsia="es-ES_tradnl"/>
                <w14:ligatures w14:val="none"/>
              </w:rPr>
            </w:pPr>
            <w:r w:rsidRPr="00EF4D4C">
              <w:rPr>
                <w:rFonts w:ascii="Arial" w:eastAsia="Times New Roman" w:hAnsi="Arial" w:cs="Arial"/>
                <w:b/>
                <w:bCs/>
                <w:kern w:val="0"/>
                <w:lang w:eastAsia="es-ES_tradnl"/>
                <w14:ligatures w14:val="none"/>
              </w:rPr>
              <w:t>Competencia</w:t>
            </w:r>
          </w:p>
        </w:tc>
      </w:tr>
      <w:tr w:rsidR="00C42BEC" w:rsidRPr="00EF4D4C" w14:paraId="2EC548E9" w14:textId="77777777" w:rsidTr="00F64A22">
        <w:tc>
          <w:tcPr>
            <w:tcW w:w="2638" w:type="dxa"/>
            <w:shd w:val="clear" w:color="auto" w:fill="AEBFD6"/>
            <w:hideMark/>
          </w:tcPr>
          <w:p w14:paraId="50F13917" w14:textId="77777777" w:rsidR="00C42BEC" w:rsidRPr="00EF4D4C" w:rsidRDefault="00C42BEC" w:rsidP="00486CEF">
            <w:pPr>
              <w:spacing w:line="276" w:lineRule="auto"/>
              <w:jc w:val="center"/>
              <w:rPr>
                <w:rFonts w:ascii="Arial" w:eastAsia="Times New Roman" w:hAnsi="Arial" w:cs="Arial"/>
                <w:kern w:val="0"/>
                <w:lang w:eastAsia="es-ES_tradnl"/>
                <w14:ligatures w14:val="none"/>
              </w:rPr>
            </w:pPr>
            <w:r w:rsidRPr="00EF4D4C">
              <w:rPr>
                <w:rFonts w:ascii="Arial" w:eastAsia="Times New Roman" w:hAnsi="Arial" w:cs="Arial"/>
                <w:b/>
                <w:bCs/>
                <w:kern w:val="0"/>
                <w:lang w:eastAsia="es-ES_tradnl"/>
                <w14:ligatures w14:val="none"/>
              </w:rPr>
              <w:t>Violencia entre vecinos</w:t>
            </w:r>
          </w:p>
        </w:tc>
        <w:tc>
          <w:tcPr>
            <w:tcW w:w="3174" w:type="dxa"/>
            <w:shd w:val="clear" w:color="auto" w:fill="AEBFD6"/>
            <w:hideMark/>
          </w:tcPr>
          <w:p w14:paraId="5127F7C1" w14:textId="77777777" w:rsidR="00C42BEC" w:rsidRPr="00EF4D4C" w:rsidRDefault="00C42BEC"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No hay relación de confianza, convivencia o cuidado</w:t>
            </w:r>
          </w:p>
        </w:tc>
        <w:tc>
          <w:tcPr>
            <w:tcW w:w="0" w:type="auto"/>
            <w:shd w:val="clear" w:color="auto" w:fill="AEBFD6"/>
            <w:hideMark/>
          </w:tcPr>
          <w:p w14:paraId="05587D23" w14:textId="6838C94D" w:rsidR="00C42BEC" w:rsidRPr="00EF4D4C" w:rsidRDefault="06BDD0AA" w:rsidP="00486CEF">
            <w:pPr>
              <w:spacing w:line="276" w:lineRule="auto"/>
              <w:jc w:val="both"/>
              <w:rPr>
                <w:rFonts w:ascii="Arial" w:eastAsia="Times New Roman" w:hAnsi="Arial" w:cs="Arial"/>
                <w:kern w:val="0"/>
                <w:lang w:eastAsia="es-ES"/>
                <w14:ligatures w14:val="none"/>
              </w:rPr>
            </w:pPr>
            <w:r w:rsidRPr="00EF4D4C">
              <w:rPr>
                <w:rFonts w:ascii="Arial" w:eastAsia="Times New Roman" w:hAnsi="Arial" w:cs="Arial"/>
                <w:kern w:val="0"/>
                <w:lang w:eastAsia="es-ES"/>
                <w14:ligatures w14:val="none"/>
              </w:rPr>
              <w:t xml:space="preserve">No es </w:t>
            </w:r>
            <w:r w:rsidR="5981B696" w:rsidRPr="00EF4D4C">
              <w:rPr>
                <w:rFonts w:ascii="Arial" w:eastAsia="Times New Roman" w:hAnsi="Arial" w:cs="Arial"/>
                <w:lang w:eastAsia="es-ES"/>
              </w:rPr>
              <w:t>VCF</w:t>
            </w:r>
            <w:r w:rsidRPr="00EF4D4C">
              <w:rPr>
                <w:rFonts w:ascii="Arial" w:eastAsia="Times New Roman" w:hAnsi="Arial" w:cs="Arial"/>
                <w:lang w:eastAsia="es-ES"/>
              </w:rPr>
              <w:t>→ Autoridad penal/policial</w:t>
            </w:r>
          </w:p>
        </w:tc>
      </w:tr>
      <w:tr w:rsidR="00C42BEC" w:rsidRPr="00EF4D4C" w14:paraId="7C7732AA" w14:textId="77777777" w:rsidTr="00F64A22">
        <w:tc>
          <w:tcPr>
            <w:tcW w:w="2638" w:type="dxa"/>
            <w:shd w:val="clear" w:color="auto" w:fill="AEBFD6"/>
            <w:hideMark/>
          </w:tcPr>
          <w:p w14:paraId="618AD807" w14:textId="77777777" w:rsidR="00C42BEC" w:rsidRPr="00EF4D4C" w:rsidRDefault="00C42BEC" w:rsidP="00486CEF">
            <w:pPr>
              <w:spacing w:line="276" w:lineRule="auto"/>
              <w:jc w:val="center"/>
              <w:rPr>
                <w:rFonts w:ascii="Arial" w:eastAsia="Times New Roman" w:hAnsi="Arial" w:cs="Arial"/>
                <w:kern w:val="0"/>
                <w:lang w:eastAsia="es-ES_tradnl"/>
                <w14:ligatures w14:val="none"/>
              </w:rPr>
            </w:pPr>
            <w:r w:rsidRPr="00EF4D4C">
              <w:rPr>
                <w:rFonts w:ascii="Arial" w:eastAsia="Times New Roman" w:hAnsi="Arial" w:cs="Arial"/>
                <w:b/>
                <w:bCs/>
                <w:kern w:val="0"/>
                <w:lang w:eastAsia="es-ES_tradnl"/>
                <w14:ligatures w14:val="none"/>
              </w:rPr>
              <w:t>Acoso laboral entre familiares</w:t>
            </w:r>
          </w:p>
        </w:tc>
        <w:tc>
          <w:tcPr>
            <w:tcW w:w="3174" w:type="dxa"/>
            <w:shd w:val="clear" w:color="auto" w:fill="AEBFD6"/>
            <w:hideMark/>
          </w:tcPr>
          <w:p w14:paraId="268E6607" w14:textId="77777777" w:rsidR="00C42BEC" w:rsidRPr="00EF4D4C" w:rsidRDefault="00C42BEC"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Contexto es laboral, no familiar</w:t>
            </w:r>
          </w:p>
        </w:tc>
        <w:tc>
          <w:tcPr>
            <w:tcW w:w="0" w:type="auto"/>
            <w:shd w:val="clear" w:color="auto" w:fill="AEBFD6"/>
            <w:hideMark/>
          </w:tcPr>
          <w:p w14:paraId="3FECDA15" w14:textId="377560AC" w:rsidR="00C42BEC" w:rsidRPr="00EF4D4C" w:rsidRDefault="06BDD0AA" w:rsidP="00486CEF">
            <w:pPr>
              <w:spacing w:line="276" w:lineRule="auto"/>
              <w:jc w:val="both"/>
              <w:rPr>
                <w:rFonts w:ascii="Arial" w:eastAsia="Times New Roman" w:hAnsi="Arial" w:cs="Arial"/>
                <w:kern w:val="0"/>
                <w:lang w:eastAsia="es-ES"/>
                <w14:ligatures w14:val="none"/>
              </w:rPr>
            </w:pPr>
            <w:r w:rsidRPr="00EF4D4C">
              <w:rPr>
                <w:rFonts w:ascii="Arial" w:eastAsia="Times New Roman" w:hAnsi="Arial" w:cs="Arial"/>
                <w:kern w:val="0"/>
                <w:lang w:eastAsia="es-ES"/>
                <w14:ligatures w14:val="none"/>
              </w:rPr>
              <w:t xml:space="preserve">No es </w:t>
            </w:r>
            <w:r w:rsidR="5981B696" w:rsidRPr="00EF4D4C">
              <w:rPr>
                <w:rFonts w:ascii="Arial" w:eastAsia="Times New Roman" w:hAnsi="Arial" w:cs="Arial"/>
                <w:lang w:eastAsia="es-ES"/>
              </w:rPr>
              <w:t>VCF</w:t>
            </w:r>
            <w:r w:rsidRPr="00EF4D4C">
              <w:rPr>
                <w:rFonts w:ascii="Arial" w:eastAsia="Times New Roman" w:hAnsi="Arial" w:cs="Arial"/>
                <w:lang w:eastAsia="es-ES"/>
              </w:rPr>
              <w:t>→ Inspección de trabajo</w:t>
            </w:r>
          </w:p>
        </w:tc>
      </w:tr>
      <w:tr w:rsidR="00C42BEC" w:rsidRPr="00EF4D4C" w14:paraId="2425435B" w14:textId="77777777" w:rsidTr="00F64A22">
        <w:tc>
          <w:tcPr>
            <w:tcW w:w="2638" w:type="dxa"/>
            <w:shd w:val="clear" w:color="auto" w:fill="AEBFD6"/>
            <w:hideMark/>
          </w:tcPr>
          <w:p w14:paraId="03DF9833" w14:textId="6B7D8CE6" w:rsidR="00C42BEC" w:rsidRPr="00EF4D4C" w:rsidRDefault="00C42BEC" w:rsidP="00486CEF">
            <w:pPr>
              <w:spacing w:line="276" w:lineRule="auto"/>
              <w:jc w:val="center"/>
              <w:rPr>
                <w:rFonts w:ascii="Arial" w:eastAsia="Times New Roman" w:hAnsi="Arial" w:cs="Arial"/>
                <w:kern w:val="0"/>
                <w:lang w:eastAsia="es-ES"/>
                <w14:ligatures w14:val="none"/>
              </w:rPr>
            </w:pPr>
            <w:r w:rsidRPr="00EF4D4C">
              <w:rPr>
                <w:rFonts w:ascii="Arial" w:eastAsia="Times New Roman" w:hAnsi="Arial" w:cs="Arial"/>
                <w:b/>
                <w:bCs/>
                <w:kern w:val="0"/>
                <w:lang w:eastAsia="es-ES"/>
                <w14:ligatures w14:val="none"/>
              </w:rPr>
              <w:t xml:space="preserve">Violencia en relación de noviazgo </w:t>
            </w:r>
            <w:r w:rsidR="6442BDF3" w:rsidRPr="00EF4D4C">
              <w:rPr>
                <w:rFonts w:ascii="Arial" w:eastAsia="Times New Roman" w:hAnsi="Arial" w:cs="Arial"/>
                <w:b/>
                <w:bCs/>
                <w:lang w:eastAsia="es-ES"/>
              </w:rPr>
              <w:t>reciente</w:t>
            </w:r>
          </w:p>
        </w:tc>
        <w:tc>
          <w:tcPr>
            <w:tcW w:w="3174" w:type="dxa"/>
            <w:shd w:val="clear" w:color="auto" w:fill="AEBFD6"/>
            <w:hideMark/>
          </w:tcPr>
          <w:p w14:paraId="33DE9A7E" w14:textId="77777777" w:rsidR="00C42BEC" w:rsidRPr="00EF4D4C" w:rsidRDefault="00C42BEC"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No hay vocación de permanencia demostrable</w:t>
            </w:r>
          </w:p>
        </w:tc>
        <w:tc>
          <w:tcPr>
            <w:tcW w:w="0" w:type="auto"/>
            <w:shd w:val="clear" w:color="auto" w:fill="AEBFD6"/>
            <w:hideMark/>
          </w:tcPr>
          <w:p w14:paraId="7DD9B5ED" w14:textId="5C09A7F3" w:rsidR="00C42BEC" w:rsidRPr="00EF4D4C" w:rsidRDefault="06BDD0AA" w:rsidP="00486CEF">
            <w:pPr>
              <w:spacing w:line="276" w:lineRule="auto"/>
              <w:jc w:val="both"/>
              <w:rPr>
                <w:rFonts w:ascii="Arial" w:eastAsia="Times New Roman" w:hAnsi="Arial" w:cs="Arial"/>
                <w:kern w:val="0"/>
                <w:lang w:eastAsia="es-ES"/>
                <w14:ligatures w14:val="none"/>
              </w:rPr>
            </w:pPr>
            <w:r w:rsidRPr="00EF4D4C">
              <w:rPr>
                <w:rFonts w:ascii="Arial" w:eastAsia="Times New Roman" w:hAnsi="Arial" w:cs="Arial"/>
                <w:kern w:val="0"/>
                <w:lang w:eastAsia="es-ES"/>
                <w14:ligatures w14:val="none"/>
              </w:rPr>
              <w:t xml:space="preserve">No se configura </w:t>
            </w:r>
            <w:r w:rsidR="5981B696" w:rsidRPr="00EF4D4C">
              <w:rPr>
                <w:rFonts w:ascii="Arial" w:eastAsia="Times New Roman" w:hAnsi="Arial" w:cs="Arial"/>
                <w:lang w:eastAsia="es-ES"/>
              </w:rPr>
              <w:t>VCF</w:t>
            </w:r>
            <w:r w:rsidR="129FC43C" w:rsidRPr="00EF4D4C">
              <w:rPr>
                <w:rFonts w:ascii="Arial" w:eastAsia="Times New Roman" w:hAnsi="Arial" w:cs="Arial"/>
                <w:lang w:eastAsia="es-ES"/>
              </w:rPr>
              <w:t xml:space="preserve"> </w:t>
            </w:r>
            <w:r w:rsidRPr="00EF4D4C">
              <w:rPr>
                <w:rFonts w:ascii="Arial" w:eastAsia="Times New Roman" w:hAnsi="Arial" w:cs="Arial"/>
                <w:lang w:eastAsia="es-ES"/>
              </w:rPr>
              <w:t>→ Autoridad penal</w:t>
            </w:r>
          </w:p>
        </w:tc>
      </w:tr>
      <w:tr w:rsidR="00C42BEC" w:rsidRPr="00EF4D4C" w14:paraId="00BA4E2D" w14:textId="77777777" w:rsidTr="00F64A22">
        <w:tc>
          <w:tcPr>
            <w:tcW w:w="2638" w:type="dxa"/>
            <w:shd w:val="clear" w:color="auto" w:fill="AEBFD6"/>
            <w:hideMark/>
          </w:tcPr>
          <w:p w14:paraId="4495B015" w14:textId="77777777" w:rsidR="00C42BEC" w:rsidRPr="00EF4D4C" w:rsidRDefault="00C42BEC" w:rsidP="00486CEF">
            <w:pPr>
              <w:spacing w:line="276" w:lineRule="auto"/>
              <w:jc w:val="center"/>
              <w:rPr>
                <w:rFonts w:ascii="Arial" w:eastAsia="Times New Roman" w:hAnsi="Arial" w:cs="Arial"/>
                <w:kern w:val="0"/>
                <w:lang w:eastAsia="es-ES_tradnl"/>
                <w14:ligatures w14:val="none"/>
              </w:rPr>
            </w:pPr>
            <w:r w:rsidRPr="00EF4D4C">
              <w:rPr>
                <w:rFonts w:ascii="Arial" w:eastAsia="Times New Roman" w:hAnsi="Arial" w:cs="Arial"/>
                <w:b/>
                <w:bCs/>
                <w:kern w:val="0"/>
                <w:lang w:eastAsia="es-ES_tradnl"/>
                <w14:ligatures w14:val="none"/>
              </w:rPr>
              <w:t>Expareja no conviviente después de 15 años</w:t>
            </w:r>
          </w:p>
        </w:tc>
        <w:tc>
          <w:tcPr>
            <w:tcW w:w="3174" w:type="dxa"/>
            <w:shd w:val="clear" w:color="auto" w:fill="AEBFD6"/>
            <w:hideMark/>
          </w:tcPr>
          <w:p w14:paraId="3D90EE0B" w14:textId="77777777" w:rsidR="00C42BEC" w:rsidRPr="00EF4D4C" w:rsidRDefault="00C42BEC"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Persiste contexto familiar por historia significativa</w:t>
            </w:r>
          </w:p>
        </w:tc>
        <w:tc>
          <w:tcPr>
            <w:tcW w:w="0" w:type="auto"/>
            <w:shd w:val="clear" w:color="auto" w:fill="AEBFD6"/>
            <w:hideMark/>
          </w:tcPr>
          <w:p w14:paraId="7C0902B8" w14:textId="237D16CD" w:rsidR="00C42BEC" w:rsidRPr="00EF4D4C" w:rsidRDefault="06BDD0AA" w:rsidP="00486CEF">
            <w:pPr>
              <w:spacing w:line="276" w:lineRule="auto"/>
              <w:jc w:val="both"/>
              <w:rPr>
                <w:rFonts w:ascii="Arial" w:eastAsia="Times New Roman" w:hAnsi="Arial" w:cs="Arial"/>
                <w:kern w:val="0"/>
                <w:lang w:eastAsia="es-ES"/>
                <w14:ligatures w14:val="none"/>
              </w:rPr>
            </w:pPr>
            <w:r w:rsidRPr="00EF4D4C">
              <w:rPr>
                <w:rFonts w:ascii="Arial" w:eastAsia="Times New Roman" w:hAnsi="Arial" w:cs="Arial"/>
                <w:kern w:val="0"/>
                <w:lang w:eastAsia="es-ES"/>
                <w14:ligatures w14:val="none"/>
              </w:rPr>
              <w:t xml:space="preserve">Sí es </w:t>
            </w:r>
            <w:r w:rsidR="5981B696" w:rsidRPr="00EF4D4C">
              <w:rPr>
                <w:rFonts w:ascii="Arial" w:eastAsia="Times New Roman" w:hAnsi="Arial" w:cs="Arial"/>
                <w:lang w:eastAsia="es-ES"/>
              </w:rPr>
              <w:t>VCF</w:t>
            </w:r>
            <w:r w:rsidR="723316C6" w:rsidRPr="00EF4D4C">
              <w:rPr>
                <w:rFonts w:ascii="Arial" w:eastAsia="Times New Roman" w:hAnsi="Arial" w:cs="Arial"/>
                <w:lang w:eastAsia="es-ES"/>
              </w:rPr>
              <w:t xml:space="preserve"> </w:t>
            </w:r>
            <w:r w:rsidRPr="00EF4D4C">
              <w:rPr>
                <w:rFonts w:ascii="Arial" w:eastAsia="Times New Roman" w:hAnsi="Arial" w:cs="Arial"/>
                <w:lang w:eastAsia="es-ES"/>
              </w:rPr>
              <w:t>→ Competencia comisarial</w:t>
            </w:r>
          </w:p>
        </w:tc>
      </w:tr>
    </w:tbl>
    <w:p w14:paraId="0655B53F" w14:textId="38796664" w:rsidR="00C42BEC" w:rsidRPr="00EF4D4C" w:rsidRDefault="00C42BEC" w:rsidP="00023663">
      <w:pPr>
        <w:spacing w:line="276" w:lineRule="auto"/>
        <w:jc w:val="center"/>
        <w:rPr>
          <w:rFonts w:ascii="Arial" w:eastAsia="Times New Roman" w:hAnsi="Arial" w:cs="Arial"/>
          <w:b/>
          <w:bCs/>
          <w:color w:val="000000" w:themeColor="text1"/>
          <w:kern w:val="0"/>
          <w:lang w:eastAsia="es-ES_tradnl"/>
          <w14:ligatures w14:val="none"/>
        </w:rPr>
      </w:pPr>
      <w:r w:rsidRPr="00EF4D4C">
        <w:rPr>
          <w:rFonts w:ascii="Arial" w:eastAsia="Times New Roman" w:hAnsi="Arial" w:cs="Arial"/>
          <w:b/>
          <w:bCs/>
          <w:color w:val="F9FAFB"/>
          <w:kern w:val="0"/>
          <w:lang w:eastAsia="es-ES_tradnl"/>
          <w14:ligatures w14:val="none"/>
        </w:rPr>
        <w:t xml:space="preserve"> </w:t>
      </w:r>
      <w:r w:rsidR="00023663" w:rsidRPr="00EF4D4C">
        <w:rPr>
          <w:rFonts w:ascii="Arial" w:eastAsia="Times New Roman" w:hAnsi="Arial" w:cs="Arial"/>
          <w:b/>
          <w:bCs/>
          <w:color w:val="000000" w:themeColor="text1"/>
          <w:kern w:val="0"/>
          <w:lang w:eastAsia="es-ES_tradnl"/>
          <w14:ligatures w14:val="none"/>
        </w:rPr>
        <w:t>Elaboración propia, Consorcio Red de Comisarias 2025</w:t>
      </w:r>
    </w:p>
    <w:p w14:paraId="7EC8A62C" w14:textId="77777777" w:rsidR="00023663" w:rsidRPr="00EF4D4C" w:rsidRDefault="00023663" w:rsidP="00023663">
      <w:pPr>
        <w:spacing w:line="276" w:lineRule="auto"/>
        <w:jc w:val="center"/>
        <w:rPr>
          <w:rFonts w:ascii="Arial" w:eastAsia="Times New Roman" w:hAnsi="Arial" w:cs="Arial"/>
          <w:b/>
          <w:bCs/>
          <w:color w:val="000000" w:themeColor="text1"/>
          <w:kern w:val="0"/>
          <w:lang w:eastAsia="es-ES_tradnl"/>
          <w14:ligatures w14:val="none"/>
        </w:rPr>
      </w:pPr>
    </w:p>
    <w:p w14:paraId="2116DB66" w14:textId="25A09AD6" w:rsidR="006D00D5" w:rsidRPr="00EF4D4C" w:rsidRDefault="00023663" w:rsidP="00023663">
      <w:pPr>
        <w:pStyle w:val="Descripcin"/>
        <w:jc w:val="center"/>
        <w:rPr>
          <w:rFonts w:ascii="Arial" w:eastAsia="Times New Roman" w:hAnsi="Arial" w:cs="Arial"/>
          <w:b/>
          <w:bCs/>
          <w:i w:val="0"/>
          <w:iCs w:val="0"/>
          <w:color w:val="000000" w:themeColor="text1"/>
          <w:kern w:val="0"/>
          <w:sz w:val="24"/>
          <w:szCs w:val="24"/>
          <w:lang w:eastAsia="es-ES"/>
          <w14:ligatures w14:val="none"/>
        </w:rPr>
      </w:pPr>
      <w:bookmarkStart w:id="3" w:name="_Toc217301471"/>
      <w:r w:rsidRPr="00EF4D4C">
        <w:rPr>
          <w:rFonts w:ascii="Arial" w:hAnsi="Arial" w:cs="Arial"/>
          <w:b/>
          <w:bCs/>
          <w:i w:val="0"/>
          <w:iCs w:val="0"/>
          <w:color w:val="000000" w:themeColor="text1"/>
          <w:sz w:val="24"/>
          <w:szCs w:val="24"/>
        </w:rPr>
        <w:t xml:space="preserve">Tabla </w:t>
      </w:r>
      <w:r w:rsidRPr="00EF4D4C">
        <w:rPr>
          <w:rFonts w:ascii="Arial" w:hAnsi="Arial" w:cs="Arial"/>
          <w:b/>
          <w:bCs/>
          <w:i w:val="0"/>
          <w:iCs w:val="0"/>
          <w:color w:val="000000" w:themeColor="text1"/>
          <w:sz w:val="24"/>
          <w:szCs w:val="24"/>
        </w:rPr>
        <w:fldChar w:fldCharType="begin"/>
      </w:r>
      <w:r w:rsidRPr="00EF4D4C">
        <w:rPr>
          <w:rFonts w:ascii="Arial" w:hAnsi="Arial" w:cs="Arial"/>
          <w:b/>
          <w:bCs/>
          <w:i w:val="0"/>
          <w:iCs w:val="0"/>
          <w:color w:val="000000" w:themeColor="text1"/>
          <w:sz w:val="24"/>
          <w:szCs w:val="24"/>
        </w:rPr>
        <w:instrText xml:space="preserve"> SEQ Tabla \* ARABIC </w:instrText>
      </w:r>
      <w:r w:rsidRPr="00EF4D4C">
        <w:rPr>
          <w:rFonts w:ascii="Arial" w:hAnsi="Arial" w:cs="Arial"/>
          <w:b/>
          <w:bCs/>
          <w:i w:val="0"/>
          <w:iCs w:val="0"/>
          <w:color w:val="000000" w:themeColor="text1"/>
          <w:sz w:val="24"/>
          <w:szCs w:val="24"/>
        </w:rPr>
        <w:fldChar w:fldCharType="separate"/>
      </w:r>
      <w:r w:rsidR="007F5C59" w:rsidRPr="00EF4D4C">
        <w:rPr>
          <w:rFonts w:ascii="Arial" w:hAnsi="Arial" w:cs="Arial"/>
          <w:b/>
          <w:bCs/>
          <w:i w:val="0"/>
          <w:iCs w:val="0"/>
          <w:noProof/>
          <w:color w:val="000000" w:themeColor="text1"/>
          <w:sz w:val="24"/>
          <w:szCs w:val="24"/>
        </w:rPr>
        <w:t>4</w:t>
      </w:r>
      <w:r w:rsidRPr="00EF4D4C">
        <w:rPr>
          <w:rFonts w:ascii="Arial" w:hAnsi="Arial" w:cs="Arial"/>
          <w:b/>
          <w:bCs/>
          <w:i w:val="0"/>
          <w:iCs w:val="0"/>
          <w:color w:val="000000" w:themeColor="text1"/>
          <w:sz w:val="24"/>
          <w:szCs w:val="24"/>
        </w:rPr>
        <w:fldChar w:fldCharType="end"/>
      </w:r>
      <w:r w:rsidRPr="00EF4D4C">
        <w:rPr>
          <w:rFonts w:ascii="Arial" w:hAnsi="Arial" w:cs="Arial"/>
          <w:b/>
          <w:bCs/>
          <w:i w:val="0"/>
          <w:iCs w:val="0"/>
          <w:color w:val="000000" w:themeColor="text1"/>
          <w:sz w:val="24"/>
          <w:szCs w:val="24"/>
        </w:rPr>
        <w:t>.</w:t>
      </w:r>
      <w:r w:rsidR="3F9E1A65" w:rsidRPr="00EF4D4C">
        <w:rPr>
          <w:rFonts w:ascii="Arial" w:eastAsia="Times New Roman" w:hAnsi="Arial" w:cs="Arial"/>
          <w:b/>
          <w:bCs/>
          <w:i w:val="0"/>
          <w:iCs w:val="0"/>
          <w:color w:val="000000" w:themeColor="text1"/>
          <w:kern w:val="0"/>
          <w:sz w:val="24"/>
          <w:szCs w:val="24"/>
          <w:lang w:eastAsia="es-ES"/>
          <w14:ligatures w14:val="none"/>
        </w:rPr>
        <w:t>Dimensiones de la Violencia en el Contexto Familiar</w:t>
      </w:r>
      <w:r w:rsidR="0E1490CC" w:rsidRPr="00EF4D4C">
        <w:rPr>
          <w:rFonts w:ascii="Arial" w:eastAsia="Times New Roman" w:hAnsi="Arial" w:cs="Arial"/>
          <w:b/>
          <w:bCs/>
          <w:i w:val="0"/>
          <w:iCs w:val="0"/>
          <w:color w:val="000000" w:themeColor="text1"/>
          <w:kern w:val="0"/>
          <w:sz w:val="24"/>
          <w:szCs w:val="24"/>
          <w:lang w:eastAsia="es-ES"/>
          <w14:ligatures w14:val="none"/>
        </w:rPr>
        <w:t xml:space="preserve"> -</w:t>
      </w:r>
      <w:r w:rsidR="5981B696" w:rsidRPr="00EF4D4C">
        <w:rPr>
          <w:rFonts w:ascii="Arial" w:eastAsia="Times New Roman" w:hAnsi="Arial" w:cs="Arial"/>
          <w:b/>
          <w:bCs/>
          <w:i w:val="0"/>
          <w:iCs w:val="0"/>
          <w:color w:val="000000" w:themeColor="text1"/>
          <w:sz w:val="24"/>
          <w:szCs w:val="24"/>
          <w:lang w:eastAsia="es-ES"/>
        </w:rPr>
        <w:t>VCF</w:t>
      </w:r>
      <w:r w:rsidR="0E1490CC" w:rsidRPr="00EF4D4C">
        <w:rPr>
          <w:rFonts w:ascii="Arial" w:eastAsia="Times New Roman" w:hAnsi="Arial" w:cs="Arial"/>
          <w:b/>
          <w:bCs/>
          <w:i w:val="0"/>
          <w:iCs w:val="0"/>
          <w:color w:val="000000" w:themeColor="text1"/>
          <w:sz w:val="24"/>
          <w:szCs w:val="24"/>
          <w:lang w:eastAsia="es-ES"/>
        </w:rPr>
        <w:t>-</w:t>
      </w:r>
      <w:bookmarkEnd w:id="3"/>
    </w:p>
    <w:tbl>
      <w:tblPr>
        <w:tblStyle w:val="Tablaconcuadrcula"/>
        <w:tblW w:w="8931" w:type="dxa"/>
        <w:tblLook w:val="04A0" w:firstRow="1" w:lastRow="0" w:firstColumn="1" w:lastColumn="0" w:noHBand="0" w:noVBand="1"/>
      </w:tblPr>
      <w:tblGrid>
        <w:gridCol w:w="1796"/>
        <w:gridCol w:w="3289"/>
        <w:gridCol w:w="3846"/>
      </w:tblGrid>
      <w:tr w:rsidR="006D00D5" w:rsidRPr="00EF4D4C" w14:paraId="383E34D8" w14:textId="77777777" w:rsidTr="003870F1">
        <w:tc>
          <w:tcPr>
            <w:tcW w:w="0" w:type="auto"/>
            <w:shd w:val="clear" w:color="auto" w:fill="1F3A5F"/>
            <w:hideMark/>
          </w:tcPr>
          <w:p w14:paraId="04EBAF28" w14:textId="77777777" w:rsidR="006D00D5" w:rsidRPr="00EF4D4C" w:rsidRDefault="006D00D5"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Dimensión</w:t>
            </w:r>
          </w:p>
        </w:tc>
        <w:tc>
          <w:tcPr>
            <w:tcW w:w="0" w:type="auto"/>
            <w:shd w:val="clear" w:color="auto" w:fill="1F3A5F"/>
            <w:hideMark/>
          </w:tcPr>
          <w:p w14:paraId="60AB5693" w14:textId="77777777" w:rsidR="006D00D5" w:rsidRPr="00EF4D4C" w:rsidRDefault="006D00D5"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Descripción</w:t>
            </w:r>
          </w:p>
        </w:tc>
        <w:tc>
          <w:tcPr>
            <w:tcW w:w="3846" w:type="dxa"/>
            <w:shd w:val="clear" w:color="auto" w:fill="1F3A5F"/>
            <w:hideMark/>
          </w:tcPr>
          <w:p w14:paraId="28254113" w14:textId="77777777" w:rsidR="006D00D5" w:rsidRPr="00EF4D4C" w:rsidRDefault="006D00D5"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Ejemplos</w:t>
            </w:r>
          </w:p>
        </w:tc>
      </w:tr>
      <w:tr w:rsidR="006D00D5" w:rsidRPr="00EF4D4C" w14:paraId="787AD558" w14:textId="77777777" w:rsidTr="00F64A22">
        <w:tc>
          <w:tcPr>
            <w:tcW w:w="0" w:type="auto"/>
            <w:shd w:val="clear" w:color="auto" w:fill="AEBFD6"/>
            <w:hideMark/>
          </w:tcPr>
          <w:p w14:paraId="457E0C20" w14:textId="77777777" w:rsidR="006D00D5" w:rsidRPr="00EF4D4C" w:rsidRDefault="006D00D5"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Física</w:t>
            </w:r>
          </w:p>
        </w:tc>
        <w:tc>
          <w:tcPr>
            <w:tcW w:w="0" w:type="auto"/>
            <w:shd w:val="clear" w:color="auto" w:fill="AEBFD6"/>
            <w:hideMark/>
          </w:tcPr>
          <w:p w14:paraId="0FA3F04F" w14:textId="77777777" w:rsidR="006D00D5" w:rsidRPr="00EF4D4C" w:rsidRDefault="006D00D5"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Uso de la fuerza física que causa daño corporal, dolor o riesgo para la salud.</w:t>
            </w:r>
          </w:p>
        </w:tc>
        <w:tc>
          <w:tcPr>
            <w:tcW w:w="3846" w:type="dxa"/>
            <w:shd w:val="clear" w:color="auto" w:fill="AEBFD6"/>
            <w:hideMark/>
          </w:tcPr>
          <w:p w14:paraId="1F46C185" w14:textId="77777777" w:rsidR="006D00D5" w:rsidRPr="00EF4D4C" w:rsidRDefault="006D00D5"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Golpes, empujones, quemaduras, heridas, uso de armas, encierro, privación de sueño o alimentos.</w:t>
            </w:r>
          </w:p>
        </w:tc>
      </w:tr>
      <w:tr w:rsidR="006D00D5" w:rsidRPr="00EF4D4C" w14:paraId="5F916363" w14:textId="77777777" w:rsidTr="00F64A22">
        <w:tc>
          <w:tcPr>
            <w:tcW w:w="0" w:type="auto"/>
            <w:shd w:val="clear" w:color="auto" w:fill="AEBFD6"/>
            <w:hideMark/>
          </w:tcPr>
          <w:p w14:paraId="1B577C7E" w14:textId="77777777" w:rsidR="006D00D5" w:rsidRPr="00EF4D4C" w:rsidRDefault="006D00D5"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Psicológica</w:t>
            </w:r>
          </w:p>
        </w:tc>
        <w:tc>
          <w:tcPr>
            <w:tcW w:w="0" w:type="auto"/>
            <w:shd w:val="clear" w:color="auto" w:fill="AEBFD6"/>
            <w:hideMark/>
          </w:tcPr>
          <w:p w14:paraId="064FBA6E" w14:textId="77777777" w:rsidR="006D00D5" w:rsidRPr="00EF4D4C" w:rsidRDefault="006D00D5"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Conductas destinadas a degradar, controlar, aislar o causar daño emocional.</w:t>
            </w:r>
          </w:p>
        </w:tc>
        <w:tc>
          <w:tcPr>
            <w:tcW w:w="3846" w:type="dxa"/>
            <w:shd w:val="clear" w:color="auto" w:fill="AEBFD6"/>
            <w:hideMark/>
          </w:tcPr>
          <w:p w14:paraId="3BAFBA78" w14:textId="77777777" w:rsidR="006D00D5" w:rsidRPr="00EF4D4C" w:rsidRDefault="006D00D5"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 xml:space="preserve">Amenazas, humillaciones, insultos, control de actividades, aislamiento social, manipulación emocional, </w:t>
            </w:r>
            <w:proofErr w:type="spellStart"/>
            <w:r w:rsidRPr="00EF4D4C">
              <w:rPr>
                <w:rFonts w:ascii="Arial" w:eastAsia="Times New Roman" w:hAnsi="Arial" w:cs="Arial"/>
                <w:kern w:val="0"/>
                <w:lang w:eastAsia="es-ES_tradnl"/>
                <w14:ligatures w14:val="none"/>
              </w:rPr>
              <w:t>gaslighting</w:t>
            </w:r>
            <w:proofErr w:type="spellEnd"/>
            <w:r w:rsidRPr="00EF4D4C">
              <w:rPr>
                <w:rFonts w:ascii="Arial" w:eastAsia="Times New Roman" w:hAnsi="Arial" w:cs="Arial"/>
                <w:kern w:val="0"/>
                <w:lang w:eastAsia="es-ES_tradnl"/>
                <w14:ligatures w14:val="none"/>
              </w:rPr>
              <w:t>.</w:t>
            </w:r>
          </w:p>
        </w:tc>
      </w:tr>
      <w:tr w:rsidR="006D00D5" w:rsidRPr="00EF4D4C" w14:paraId="4E19FB65" w14:textId="77777777" w:rsidTr="00F64A22">
        <w:tc>
          <w:tcPr>
            <w:tcW w:w="0" w:type="auto"/>
            <w:shd w:val="clear" w:color="auto" w:fill="AEBFD6"/>
            <w:hideMark/>
          </w:tcPr>
          <w:p w14:paraId="679EA5FA" w14:textId="77777777" w:rsidR="006D00D5" w:rsidRPr="00EF4D4C" w:rsidRDefault="006D00D5"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Sexual</w:t>
            </w:r>
          </w:p>
        </w:tc>
        <w:tc>
          <w:tcPr>
            <w:tcW w:w="0" w:type="auto"/>
            <w:shd w:val="clear" w:color="auto" w:fill="AEBFD6"/>
            <w:hideMark/>
          </w:tcPr>
          <w:p w14:paraId="4C525FEE" w14:textId="77777777" w:rsidR="006D00D5" w:rsidRPr="00EF4D4C" w:rsidRDefault="006D00D5"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Imposición de actos sexuales no consentidos o que atentan contra la libertad sexual.</w:t>
            </w:r>
          </w:p>
        </w:tc>
        <w:tc>
          <w:tcPr>
            <w:tcW w:w="3846" w:type="dxa"/>
            <w:shd w:val="clear" w:color="auto" w:fill="AEBFD6"/>
            <w:hideMark/>
          </w:tcPr>
          <w:p w14:paraId="0F370DD2" w14:textId="77777777" w:rsidR="006D00D5" w:rsidRPr="00EF4D4C" w:rsidRDefault="006D00D5"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Violación, acoso sexual, imposición de prácticas sexuales, negación del derecho a la autonomía reproductiva.</w:t>
            </w:r>
          </w:p>
        </w:tc>
      </w:tr>
      <w:tr w:rsidR="006D00D5" w:rsidRPr="00EF4D4C" w14:paraId="7AC10026" w14:textId="77777777" w:rsidTr="00F64A22">
        <w:tc>
          <w:tcPr>
            <w:tcW w:w="0" w:type="auto"/>
            <w:shd w:val="clear" w:color="auto" w:fill="AEBFD6"/>
            <w:hideMark/>
          </w:tcPr>
          <w:p w14:paraId="55CE1DD1" w14:textId="77777777" w:rsidR="006D00D5" w:rsidRPr="00EF4D4C" w:rsidRDefault="006D00D5"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Patrimonial</w:t>
            </w:r>
          </w:p>
        </w:tc>
        <w:tc>
          <w:tcPr>
            <w:tcW w:w="0" w:type="auto"/>
            <w:shd w:val="clear" w:color="auto" w:fill="AEBFD6"/>
            <w:hideMark/>
          </w:tcPr>
          <w:p w14:paraId="5F5AC9BE" w14:textId="77777777" w:rsidR="006D00D5" w:rsidRPr="00EF4D4C" w:rsidRDefault="006D00D5"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Actos que afectan los bienes materiales y propiedades de la víctima.</w:t>
            </w:r>
          </w:p>
        </w:tc>
        <w:tc>
          <w:tcPr>
            <w:tcW w:w="3846" w:type="dxa"/>
            <w:shd w:val="clear" w:color="auto" w:fill="AEBFD6"/>
            <w:hideMark/>
          </w:tcPr>
          <w:p w14:paraId="38FA70AA" w14:textId="77777777" w:rsidR="006D00D5" w:rsidRPr="00EF4D4C" w:rsidRDefault="006D00D5"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Destrucción de documentos personales, retención de propiedades, daño a bienes muebles o inmuebles, ocultamiento de títulos de propiedad.</w:t>
            </w:r>
          </w:p>
        </w:tc>
      </w:tr>
      <w:tr w:rsidR="006D00D5" w:rsidRPr="00EF4D4C" w14:paraId="67141AA2" w14:textId="77777777" w:rsidTr="00F64A22">
        <w:tc>
          <w:tcPr>
            <w:tcW w:w="0" w:type="auto"/>
            <w:shd w:val="clear" w:color="auto" w:fill="AEBFD6"/>
            <w:hideMark/>
          </w:tcPr>
          <w:p w14:paraId="592F9C34" w14:textId="77777777" w:rsidR="006D00D5" w:rsidRPr="00EF4D4C" w:rsidRDefault="006D00D5"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lastRenderedPageBreak/>
              <w:t>Económica</w:t>
            </w:r>
          </w:p>
        </w:tc>
        <w:tc>
          <w:tcPr>
            <w:tcW w:w="0" w:type="auto"/>
            <w:shd w:val="clear" w:color="auto" w:fill="AEBFD6"/>
            <w:hideMark/>
          </w:tcPr>
          <w:p w14:paraId="12884E09" w14:textId="77777777" w:rsidR="006D00D5" w:rsidRPr="00EF4D4C" w:rsidRDefault="006D00D5"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Acciones que afectan la supervivencia económica y recursos financieros de la víctima.</w:t>
            </w:r>
          </w:p>
        </w:tc>
        <w:tc>
          <w:tcPr>
            <w:tcW w:w="3846" w:type="dxa"/>
            <w:shd w:val="clear" w:color="auto" w:fill="AEBFD6"/>
            <w:hideMark/>
          </w:tcPr>
          <w:p w14:paraId="12266C44" w14:textId="77777777" w:rsidR="006D00D5" w:rsidRPr="00EF4D4C" w:rsidRDefault="006D00D5"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Control abusivo de ingresos, prohibición de trabajar, negación de dinero para necesidades básicas, sabotaje laboral, retención de tarjetas bancarias.</w:t>
            </w:r>
          </w:p>
        </w:tc>
      </w:tr>
      <w:tr w:rsidR="006D00D5" w:rsidRPr="00EF4D4C" w14:paraId="62F6D4F2" w14:textId="77777777" w:rsidTr="00F64A22">
        <w:tc>
          <w:tcPr>
            <w:tcW w:w="0" w:type="auto"/>
            <w:shd w:val="clear" w:color="auto" w:fill="AEBFD6"/>
          </w:tcPr>
          <w:p w14:paraId="094E9FF5" w14:textId="77777777" w:rsidR="006D00D5" w:rsidRPr="00EF4D4C" w:rsidRDefault="006D00D5"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Simbólica</w:t>
            </w:r>
          </w:p>
        </w:tc>
        <w:tc>
          <w:tcPr>
            <w:tcW w:w="0" w:type="auto"/>
            <w:shd w:val="clear" w:color="auto" w:fill="AEBFD6"/>
          </w:tcPr>
          <w:p w14:paraId="285B2B15" w14:textId="77777777" w:rsidR="006D00D5" w:rsidRPr="00EF4D4C" w:rsidRDefault="006D00D5"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Imposición de valores, roles y estereotipos naturalizados que reproducen dominación.</w:t>
            </w:r>
          </w:p>
        </w:tc>
        <w:tc>
          <w:tcPr>
            <w:tcW w:w="3846" w:type="dxa"/>
            <w:shd w:val="clear" w:color="auto" w:fill="AEBFD6"/>
          </w:tcPr>
          <w:p w14:paraId="4C909D7E" w14:textId="77777777" w:rsidR="006D00D5" w:rsidRPr="00EF4D4C" w:rsidRDefault="006D00D5"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Roles de género rígidos, desvalorización de lo femenino, normalización de la subordinación, lenguaje sexista.</w:t>
            </w:r>
          </w:p>
        </w:tc>
      </w:tr>
      <w:tr w:rsidR="006D00D5" w:rsidRPr="00EF4D4C" w14:paraId="73FD6450" w14:textId="77777777" w:rsidTr="00F64A22">
        <w:tc>
          <w:tcPr>
            <w:tcW w:w="0" w:type="auto"/>
            <w:shd w:val="clear" w:color="auto" w:fill="AEBFD6"/>
          </w:tcPr>
          <w:p w14:paraId="32543084" w14:textId="77777777" w:rsidR="006D00D5" w:rsidRPr="00EF4D4C" w:rsidRDefault="006D00D5"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Vicaria</w:t>
            </w:r>
          </w:p>
        </w:tc>
        <w:tc>
          <w:tcPr>
            <w:tcW w:w="0" w:type="auto"/>
            <w:shd w:val="clear" w:color="auto" w:fill="AEBFD6"/>
          </w:tcPr>
          <w:p w14:paraId="62D6014E" w14:textId="77777777" w:rsidR="006D00D5" w:rsidRPr="00EF4D4C" w:rsidRDefault="006D00D5"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Violencia ejercida sobre seres queridos (generalmente hijas/os) para dañar indirectamente a la víctima.</w:t>
            </w:r>
          </w:p>
        </w:tc>
        <w:tc>
          <w:tcPr>
            <w:tcW w:w="3846" w:type="dxa"/>
            <w:shd w:val="clear" w:color="auto" w:fill="AEBFD6"/>
          </w:tcPr>
          <w:p w14:paraId="46FD06DF" w14:textId="77777777" w:rsidR="006D00D5" w:rsidRPr="00EF4D4C" w:rsidRDefault="006D00D5"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Amenazas o daño a hijos para castigar a la madre, manipulación de menores en procesos de custodia, maltrato infantil como forma de agredir al otro progenitor.</w:t>
            </w:r>
          </w:p>
        </w:tc>
      </w:tr>
      <w:tr w:rsidR="006D00D5" w:rsidRPr="00EF4D4C" w14:paraId="7DD19316" w14:textId="77777777" w:rsidTr="00F64A22">
        <w:tc>
          <w:tcPr>
            <w:tcW w:w="0" w:type="auto"/>
            <w:shd w:val="clear" w:color="auto" w:fill="AEBFD6"/>
          </w:tcPr>
          <w:p w14:paraId="5AFE3FF4" w14:textId="77777777" w:rsidR="006D00D5" w:rsidRPr="00EF4D4C" w:rsidRDefault="006D00D5"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Digital o cibernética</w:t>
            </w:r>
          </w:p>
        </w:tc>
        <w:tc>
          <w:tcPr>
            <w:tcW w:w="0" w:type="auto"/>
            <w:shd w:val="clear" w:color="auto" w:fill="AEBFD6"/>
          </w:tcPr>
          <w:p w14:paraId="66E86D3F" w14:textId="77777777" w:rsidR="006D00D5" w:rsidRPr="00EF4D4C" w:rsidRDefault="006D00D5"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Uso de tecnologías para hostigar, vigilar, amenazar o dañar a la víctima.</w:t>
            </w:r>
          </w:p>
        </w:tc>
        <w:tc>
          <w:tcPr>
            <w:tcW w:w="3846" w:type="dxa"/>
            <w:shd w:val="clear" w:color="auto" w:fill="AEBFD6"/>
          </w:tcPr>
          <w:p w14:paraId="7DB40285" w14:textId="77777777" w:rsidR="006D00D5" w:rsidRPr="00EF4D4C" w:rsidRDefault="006D00D5"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Control de redes sociales, difusión de imágenes íntimas sin consentimiento, acecho digital (</w:t>
            </w:r>
            <w:proofErr w:type="spellStart"/>
            <w:r w:rsidRPr="00EF4D4C">
              <w:rPr>
                <w:rFonts w:ascii="Arial" w:eastAsia="Times New Roman" w:hAnsi="Arial" w:cs="Arial"/>
                <w:kern w:val="0"/>
                <w:lang w:eastAsia="es-ES_tradnl"/>
                <w14:ligatures w14:val="none"/>
              </w:rPr>
              <w:t>stalkeo</w:t>
            </w:r>
            <w:proofErr w:type="spellEnd"/>
            <w:r w:rsidRPr="00EF4D4C">
              <w:rPr>
                <w:rFonts w:ascii="Arial" w:eastAsia="Times New Roman" w:hAnsi="Arial" w:cs="Arial"/>
                <w:kern w:val="0"/>
                <w:lang w:eastAsia="es-ES_tradnl"/>
                <w14:ligatures w14:val="none"/>
              </w:rPr>
              <w:t>), suplantación de identidad.</w:t>
            </w:r>
          </w:p>
        </w:tc>
      </w:tr>
      <w:tr w:rsidR="003C000F" w:rsidRPr="00EF4D4C" w14:paraId="085164B7" w14:textId="77777777" w:rsidTr="00F64A22">
        <w:tc>
          <w:tcPr>
            <w:tcW w:w="0" w:type="auto"/>
            <w:shd w:val="clear" w:color="auto" w:fill="AEBFD6"/>
          </w:tcPr>
          <w:p w14:paraId="6C04AD0C" w14:textId="77777777" w:rsidR="003C000F" w:rsidRPr="00EF4D4C" w:rsidRDefault="003C000F"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Negligencia y Abandono</w:t>
            </w:r>
          </w:p>
        </w:tc>
        <w:tc>
          <w:tcPr>
            <w:tcW w:w="0" w:type="auto"/>
            <w:shd w:val="clear" w:color="auto" w:fill="AEBFD6"/>
          </w:tcPr>
          <w:p w14:paraId="0A6FA185" w14:textId="77777777" w:rsidR="003C000F" w:rsidRPr="00EF4D4C" w:rsidRDefault="003C000F"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Omisión del deber de cuidado hacia personas en situación de dependencia.</w:t>
            </w:r>
          </w:p>
        </w:tc>
        <w:tc>
          <w:tcPr>
            <w:tcW w:w="3846" w:type="dxa"/>
            <w:shd w:val="clear" w:color="auto" w:fill="AEBFD6"/>
          </w:tcPr>
          <w:p w14:paraId="77941E0A" w14:textId="77777777" w:rsidR="003C000F" w:rsidRPr="00EF4D4C" w:rsidRDefault="003C000F"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Falta de alimentación, higiene, salud o educación a menores, adultos mayores o personas con discapacidad.</w:t>
            </w:r>
          </w:p>
        </w:tc>
      </w:tr>
    </w:tbl>
    <w:p w14:paraId="08D0F218" w14:textId="77777777" w:rsidR="00023663" w:rsidRPr="00EF4D4C" w:rsidRDefault="00023663" w:rsidP="00023663">
      <w:pPr>
        <w:spacing w:line="276" w:lineRule="auto"/>
        <w:jc w:val="center"/>
        <w:rPr>
          <w:rFonts w:ascii="Arial" w:eastAsia="Times New Roman" w:hAnsi="Arial" w:cs="Arial"/>
          <w:b/>
          <w:bCs/>
          <w:color w:val="000000" w:themeColor="text1"/>
          <w:kern w:val="0"/>
          <w:lang w:eastAsia="es-ES_tradnl"/>
          <w14:ligatures w14:val="none"/>
        </w:rPr>
      </w:pPr>
      <w:r w:rsidRPr="00EF4D4C">
        <w:rPr>
          <w:rFonts w:ascii="Arial" w:eastAsia="Times New Roman" w:hAnsi="Arial" w:cs="Arial"/>
          <w:b/>
          <w:bCs/>
          <w:color w:val="000000" w:themeColor="text1"/>
          <w:kern w:val="0"/>
          <w:lang w:eastAsia="es-ES_tradnl"/>
          <w14:ligatures w14:val="none"/>
        </w:rPr>
        <w:t>Elaboración propia, Consorcio Red de Comisarias 2025</w:t>
      </w:r>
    </w:p>
    <w:p w14:paraId="3591765B" w14:textId="77777777" w:rsidR="006D00D5" w:rsidRPr="00EF4D4C" w:rsidRDefault="006D00D5" w:rsidP="00486CEF">
      <w:pPr>
        <w:spacing w:line="276" w:lineRule="auto"/>
        <w:rPr>
          <w:rFonts w:ascii="Arial" w:hAnsi="Arial" w:cs="Arial"/>
        </w:rPr>
      </w:pPr>
    </w:p>
    <w:p w14:paraId="28764B8A" w14:textId="77777777" w:rsidR="006D00D5" w:rsidRPr="00EF4D4C" w:rsidRDefault="006D00D5" w:rsidP="00880BFB">
      <w:pPr>
        <w:pStyle w:val="Prrafodelista"/>
        <w:numPr>
          <w:ilvl w:val="0"/>
          <w:numId w:val="8"/>
        </w:numPr>
        <w:spacing w:line="276" w:lineRule="auto"/>
        <w:ind w:left="284"/>
        <w:jc w:val="both"/>
        <w:rPr>
          <w:rFonts w:ascii="Arial" w:hAnsi="Arial" w:cs="Arial"/>
        </w:rPr>
      </w:pPr>
      <w:r w:rsidRPr="00EF4D4C">
        <w:rPr>
          <w:rFonts w:ascii="Arial" w:hAnsi="Arial" w:cs="Arial"/>
          <w:b/>
          <w:bCs/>
        </w:rPr>
        <w:t>Enfoque Interseccional:</w:t>
      </w:r>
      <w:r w:rsidRPr="00EF4D4C">
        <w:rPr>
          <w:rFonts w:ascii="Arial" w:hAnsi="Arial" w:cs="Arial"/>
        </w:rPr>
        <w:t xml:space="preserve"> La gravedad y manifestación de cada tipo de violencia puede variar según género, edad, etnia, discapacidad y contexto socioeconómico.</w:t>
      </w:r>
    </w:p>
    <w:p w14:paraId="7D14EDDF" w14:textId="1528F2A3" w:rsidR="006D00D5" w:rsidRPr="00EF4D4C" w:rsidRDefault="3F9E1A65" w:rsidP="00880BFB">
      <w:pPr>
        <w:numPr>
          <w:ilvl w:val="0"/>
          <w:numId w:val="8"/>
        </w:numPr>
        <w:spacing w:line="276" w:lineRule="auto"/>
        <w:ind w:left="284"/>
        <w:jc w:val="both"/>
        <w:rPr>
          <w:rFonts w:ascii="Arial" w:hAnsi="Arial" w:cs="Arial"/>
        </w:rPr>
      </w:pPr>
      <w:r w:rsidRPr="00EF4D4C">
        <w:rPr>
          <w:rFonts w:ascii="Arial" w:hAnsi="Arial" w:cs="Arial"/>
          <w:b/>
          <w:bCs/>
        </w:rPr>
        <w:t xml:space="preserve">Perspectiva de Género: </w:t>
      </w:r>
      <w:r w:rsidRPr="00EF4D4C">
        <w:rPr>
          <w:rFonts w:ascii="Arial" w:hAnsi="Arial" w:cs="Arial"/>
        </w:rPr>
        <w:t>La violencia simbólica suele ser el sustrato que normaliza y permite otras formas de violencia, especialmente contra las mujeres.</w:t>
      </w:r>
    </w:p>
    <w:p w14:paraId="26F67887" w14:textId="77777777" w:rsidR="006D00D5" w:rsidRPr="00EF4D4C" w:rsidRDefault="006D00D5" w:rsidP="00880BFB">
      <w:pPr>
        <w:pStyle w:val="Prrafodelista"/>
        <w:numPr>
          <w:ilvl w:val="0"/>
          <w:numId w:val="8"/>
        </w:numPr>
        <w:spacing w:line="276" w:lineRule="auto"/>
        <w:ind w:left="284"/>
        <w:jc w:val="both"/>
        <w:rPr>
          <w:rFonts w:ascii="Arial" w:hAnsi="Arial" w:cs="Arial"/>
        </w:rPr>
      </w:pPr>
      <w:r w:rsidRPr="00EF4D4C">
        <w:rPr>
          <w:rFonts w:ascii="Arial" w:hAnsi="Arial" w:cs="Arial"/>
          <w:b/>
          <w:bCs/>
        </w:rPr>
        <w:t xml:space="preserve">Violencia Vicaria: </w:t>
      </w:r>
      <w:r w:rsidRPr="00EF4D4C">
        <w:rPr>
          <w:rFonts w:ascii="Arial" w:hAnsi="Arial" w:cs="Arial"/>
        </w:rPr>
        <w:t>Reconocida jurisprudencialmente como una de las formas más graves, por utilizar a menores como instrumentos de agresión.</w:t>
      </w:r>
    </w:p>
    <w:p w14:paraId="587A97E7" w14:textId="77777777" w:rsidR="006D00D5" w:rsidRPr="00EF4D4C" w:rsidRDefault="006D00D5" w:rsidP="00486CEF">
      <w:pPr>
        <w:spacing w:line="276" w:lineRule="auto"/>
        <w:rPr>
          <w:rFonts w:ascii="Arial" w:hAnsi="Arial" w:cs="Arial"/>
        </w:rPr>
      </w:pPr>
    </w:p>
    <w:p w14:paraId="72224FFB" w14:textId="77777777" w:rsidR="006D00D5" w:rsidRPr="00EF4D4C" w:rsidRDefault="003C000F" w:rsidP="00486CEF">
      <w:pPr>
        <w:spacing w:line="276" w:lineRule="auto"/>
        <w:rPr>
          <w:rFonts w:ascii="Arial" w:hAnsi="Arial" w:cs="Arial"/>
          <w:b/>
          <w:bCs/>
        </w:rPr>
      </w:pPr>
      <w:r w:rsidRPr="00EF4D4C">
        <w:rPr>
          <w:rFonts w:ascii="Arial" w:hAnsi="Arial" w:cs="Arial"/>
          <w:b/>
          <w:bCs/>
        </w:rPr>
        <w:t>2</w:t>
      </w:r>
      <w:r w:rsidR="006D00D5" w:rsidRPr="00EF4D4C">
        <w:rPr>
          <w:rFonts w:ascii="Arial" w:hAnsi="Arial" w:cs="Arial"/>
          <w:b/>
          <w:bCs/>
        </w:rPr>
        <w:t>. Desarrollo narrativo de los literales A–E</w:t>
      </w:r>
    </w:p>
    <w:p w14:paraId="296352EF" w14:textId="77777777" w:rsidR="006D00D5" w:rsidRPr="00EF4D4C" w:rsidRDefault="006D00D5" w:rsidP="00486CEF">
      <w:pPr>
        <w:spacing w:line="276" w:lineRule="auto"/>
        <w:rPr>
          <w:rFonts w:ascii="Arial" w:hAnsi="Arial" w:cs="Arial"/>
        </w:rPr>
      </w:pPr>
    </w:p>
    <w:p w14:paraId="62717350" w14:textId="77777777" w:rsidR="006D00D5" w:rsidRPr="00EF4D4C" w:rsidRDefault="006D00D5" w:rsidP="00486CEF">
      <w:pPr>
        <w:spacing w:line="276" w:lineRule="auto"/>
        <w:jc w:val="both"/>
        <w:rPr>
          <w:rFonts w:ascii="Arial" w:hAnsi="Arial" w:cs="Arial"/>
          <w:b/>
          <w:bCs/>
        </w:rPr>
      </w:pPr>
      <w:r w:rsidRPr="00EF4D4C">
        <w:rPr>
          <w:rFonts w:ascii="Arial" w:hAnsi="Arial" w:cs="Arial"/>
          <w:b/>
          <w:bCs/>
        </w:rPr>
        <w:t>Literal A: Cónyuges y compañeros permanentes, incluso separados o divorciados</w:t>
      </w:r>
    </w:p>
    <w:p w14:paraId="3561B1C2" w14:textId="77777777" w:rsidR="006D00D5" w:rsidRPr="00EF4D4C" w:rsidRDefault="006D00D5" w:rsidP="00880BFB">
      <w:pPr>
        <w:spacing w:line="276" w:lineRule="auto"/>
        <w:ind w:firstLine="720"/>
        <w:rPr>
          <w:rFonts w:ascii="Arial" w:hAnsi="Arial" w:cs="Arial"/>
        </w:rPr>
      </w:pPr>
    </w:p>
    <w:p w14:paraId="7FED3651" w14:textId="77777777" w:rsidR="006D00D5" w:rsidRPr="00EF4D4C" w:rsidRDefault="006D00D5" w:rsidP="00880BFB">
      <w:pPr>
        <w:spacing w:line="276" w:lineRule="auto"/>
        <w:ind w:firstLine="720"/>
        <w:jc w:val="both"/>
        <w:rPr>
          <w:rFonts w:ascii="Arial" w:hAnsi="Arial" w:cs="Arial"/>
        </w:rPr>
      </w:pPr>
      <w:r w:rsidRPr="00EF4D4C">
        <w:rPr>
          <w:rFonts w:ascii="Arial" w:hAnsi="Arial" w:cs="Arial"/>
        </w:rPr>
        <w:lastRenderedPageBreak/>
        <w:t>La competencia subsiste aun cuando el vínculo jurídico o convivencial ya no existe. La clave está en identificar que el conflicto emerge del vínculo conyugal o marital que existió.</w:t>
      </w:r>
    </w:p>
    <w:p w14:paraId="5730FEE9" w14:textId="77777777" w:rsidR="00F715D0" w:rsidRPr="00EF4D4C" w:rsidRDefault="00F715D0" w:rsidP="00486CEF">
      <w:pPr>
        <w:spacing w:line="276" w:lineRule="auto"/>
        <w:jc w:val="both"/>
        <w:rPr>
          <w:rFonts w:ascii="Arial" w:hAnsi="Arial" w:cs="Arial"/>
        </w:rPr>
      </w:pPr>
    </w:p>
    <w:p w14:paraId="2002D8DE" w14:textId="707A1749" w:rsidR="003B7E42" w:rsidRPr="00EF4D4C" w:rsidRDefault="003B7E42" w:rsidP="005C313B">
      <w:pPr>
        <w:spacing w:line="276" w:lineRule="auto"/>
        <w:jc w:val="center"/>
        <w:rPr>
          <w:rFonts w:ascii="Arial" w:hAnsi="Arial" w:cs="Arial"/>
        </w:rPr>
      </w:pPr>
      <w:r w:rsidRPr="00EF4D4C">
        <w:rPr>
          <w:rFonts w:ascii="Arial" w:hAnsi="Arial" w:cs="Arial"/>
          <w:noProof/>
        </w:rPr>
        <w:drawing>
          <wp:inline distT="0" distB="0" distL="0" distR="0" wp14:anchorId="33BAF11B" wp14:editId="0B43B88B">
            <wp:extent cx="5413375" cy="3131746"/>
            <wp:effectExtent l="0" t="0" r="0" b="0"/>
            <wp:docPr id="1283974881"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6735" b="20409"/>
                    <a:stretch>
                      <a:fillRect/>
                    </a:stretch>
                  </pic:blipFill>
                  <pic:spPr bwMode="auto">
                    <a:xfrm>
                      <a:off x="0" y="0"/>
                      <a:ext cx="5448699" cy="3152182"/>
                    </a:xfrm>
                    <a:prstGeom prst="rect">
                      <a:avLst/>
                    </a:prstGeom>
                    <a:noFill/>
                    <a:ln>
                      <a:noFill/>
                    </a:ln>
                    <a:extLst>
                      <a:ext uri="{53640926-AAD7-44D8-BBD7-CCE9431645EC}">
                        <a14:shadowObscured xmlns:a14="http://schemas.microsoft.com/office/drawing/2010/main"/>
                      </a:ext>
                    </a:extLst>
                  </pic:spPr>
                </pic:pic>
              </a:graphicData>
            </a:graphic>
          </wp:inline>
        </w:drawing>
      </w:r>
    </w:p>
    <w:p w14:paraId="199189B7" w14:textId="77777777" w:rsidR="005C313B" w:rsidRPr="00EF4D4C" w:rsidRDefault="005C313B" w:rsidP="005C313B">
      <w:pPr>
        <w:spacing w:line="276" w:lineRule="auto"/>
        <w:jc w:val="center"/>
        <w:rPr>
          <w:rFonts w:ascii="Arial" w:hAnsi="Arial" w:cs="Arial"/>
        </w:rPr>
      </w:pPr>
    </w:p>
    <w:p w14:paraId="04EF60F1" w14:textId="77777777" w:rsidR="006D00D5" w:rsidRPr="00EF4D4C" w:rsidRDefault="006D00D5" w:rsidP="00486CEF">
      <w:pPr>
        <w:spacing w:line="276" w:lineRule="auto"/>
        <w:jc w:val="both"/>
        <w:rPr>
          <w:rFonts w:ascii="Arial" w:hAnsi="Arial" w:cs="Arial"/>
        </w:rPr>
      </w:pPr>
      <w:r w:rsidRPr="00EF4D4C">
        <w:rPr>
          <w:rFonts w:ascii="Arial" w:hAnsi="Arial" w:cs="Arial"/>
          <w:b/>
          <w:bCs/>
        </w:rPr>
        <w:t>Regla práctica</w:t>
      </w:r>
      <w:r w:rsidRPr="00EF4D4C">
        <w:rPr>
          <w:rFonts w:ascii="Arial" w:hAnsi="Arial" w:cs="Arial"/>
        </w:rPr>
        <w:t>: La ruptura formal no elimina la historia relacional que sustenta el riesgo.</w:t>
      </w:r>
    </w:p>
    <w:p w14:paraId="6E66C0C2" w14:textId="77777777" w:rsidR="006D00D5" w:rsidRPr="00EF4D4C" w:rsidRDefault="006D00D5" w:rsidP="00486CEF">
      <w:pPr>
        <w:spacing w:line="276" w:lineRule="auto"/>
        <w:rPr>
          <w:rFonts w:ascii="Arial" w:hAnsi="Arial" w:cs="Arial"/>
        </w:rPr>
      </w:pPr>
    </w:p>
    <w:p w14:paraId="76FDD00E" w14:textId="77777777" w:rsidR="006D00D5" w:rsidRPr="00EF4D4C" w:rsidRDefault="006D00D5" w:rsidP="00486CEF">
      <w:pPr>
        <w:spacing w:line="276" w:lineRule="auto"/>
        <w:rPr>
          <w:rFonts w:ascii="Arial" w:hAnsi="Arial" w:cs="Arial"/>
          <w:b/>
          <w:bCs/>
        </w:rPr>
      </w:pPr>
      <w:r w:rsidRPr="00EF4D4C">
        <w:rPr>
          <w:rFonts w:ascii="Arial" w:hAnsi="Arial" w:cs="Arial"/>
          <w:b/>
          <w:bCs/>
        </w:rPr>
        <w:t>Literal B: Padres y madres de familia sin convivencia</w:t>
      </w:r>
    </w:p>
    <w:p w14:paraId="0223936A" w14:textId="77777777" w:rsidR="006D00D5" w:rsidRPr="00EF4D4C" w:rsidRDefault="006D00D5" w:rsidP="00486CEF">
      <w:pPr>
        <w:spacing w:line="276" w:lineRule="auto"/>
        <w:rPr>
          <w:rFonts w:ascii="Arial" w:hAnsi="Arial" w:cs="Arial"/>
        </w:rPr>
      </w:pPr>
    </w:p>
    <w:p w14:paraId="57366F1B" w14:textId="48AAFB79" w:rsidR="006D00D5" w:rsidRPr="00EF4D4C" w:rsidRDefault="003C000F" w:rsidP="00023663">
      <w:pPr>
        <w:spacing w:line="276" w:lineRule="auto"/>
        <w:ind w:firstLine="720"/>
        <w:jc w:val="both"/>
        <w:rPr>
          <w:rFonts w:ascii="Arial" w:hAnsi="Arial" w:cs="Arial"/>
        </w:rPr>
      </w:pPr>
      <w:r w:rsidRPr="00EF4D4C">
        <w:rPr>
          <w:rFonts w:ascii="Arial" w:hAnsi="Arial" w:cs="Arial"/>
        </w:rPr>
        <w:t>R</w:t>
      </w:r>
      <w:r w:rsidR="006D00D5" w:rsidRPr="00EF4D4C">
        <w:rPr>
          <w:rFonts w:ascii="Arial" w:hAnsi="Arial" w:cs="Arial"/>
        </w:rPr>
        <w:t>econoce que la violencia puede darse entre progenitores aun cuando nunca hayan convivido, e incluso cuando no exista relación sentimental alguna.</w:t>
      </w:r>
      <w:r w:rsidR="00DB066D" w:rsidRPr="00EF4D4C">
        <w:rPr>
          <w:rFonts w:ascii="Arial" w:hAnsi="Arial" w:cs="Arial"/>
          <w:noProof/>
        </w:rPr>
        <w:lastRenderedPageBreak/>
        <mc:AlternateContent>
          <mc:Choice Requires="wps">
            <w:drawing>
              <wp:inline distT="0" distB="0" distL="0" distR="0" wp14:anchorId="6EA312A2" wp14:editId="00167095">
                <wp:extent cx="304800" cy="304800"/>
                <wp:effectExtent l="0" t="0" r="0" b="0"/>
                <wp:docPr id="819404990" name="Rectángulo 18" descr="Imagen generad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B18CE9" id="Rectángulo 18" o:spid="_x0000_s1026" alt="Imagen generad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00DB066D" w:rsidRPr="00EF4D4C">
        <w:rPr>
          <w:rFonts w:ascii="Arial" w:hAnsi="Arial" w:cs="Arial"/>
          <w:noProof/>
        </w:rPr>
        <w:drawing>
          <wp:inline distT="0" distB="0" distL="0" distR="0" wp14:anchorId="7EDA9E83" wp14:editId="1CFF3527">
            <wp:extent cx="5739765" cy="3463290"/>
            <wp:effectExtent l="0" t="0" r="0" b="3810"/>
            <wp:docPr id="1832146148"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5666" b="19065"/>
                    <a:stretch>
                      <a:fillRect/>
                    </a:stretch>
                  </pic:blipFill>
                  <pic:spPr bwMode="auto">
                    <a:xfrm>
                      <a:off x="0" y="0"/>
                      <a:ext cx="5752469" cy="3470955"/>
                    </a:xfrm>
                    <a:prstGeom prst="rect">
                      <a:avLst/>
                    </a:prstGeom>
                    <a:noFill/>
                    <a:ln>
                      <a:noFill/>
                    </a:ln>
                    <a:extLst>
                      <a:ext uri="{53640926-AAD7-44D8-BBD7-CCE9431645EC}">
                        <a14:shadowObscured xmlns:a14="http://schemas.microsoft.com/office/drawing/2010/main"/>
                      </a:ext>
                    </a:extLst>
                  </pic:spPr>
                </pic:pic>
              </a:graphicData>
            </a:graphic>
          </wp:inline>
        </w:drawing>
      </w:r>
    </w:p>
    <w:p w14:paraId="2F8D6EAC" w14:textId="77777777" w:rsidR="00DB066D" w:rsidRPr="00EF4D4C" w:rsidRDefault="00DB066D" w:rsidP="00486CEF">
      <w:pPr>
        <w:spacing w:line="276" w:lineRule="auto"/>
        <w:rPr>
          <w:rFonts w:ascii="Arial" w:hAnsi="Arial" w:cs="Arial"/>
        </w:rPr>
      </w:pPr>
    </w:p>
    <w:p w14:paraId="5E514BFA" w14:textId="77777777" w:rsidR="006D00D5" w:rsidRPr="00EF4D4C" w:rsidRDefault="006D00D5" w:rsidP="00486CEF">
      <w:pPr>
        <w:spacing w:line="276" w:lineRule="auto"/>
        <w:jc w:val="both"/>
        <w:rPr>
          <w:rFonts w:ascii="Arial" w:hAnsi="Arial" w:cs="Arial"/>
        </w:rPr>
      </w:pPr>
      <w:r w:rsidRPr="00EF4D4C">
        <w:rPr>
          <w:rFonts w:ascii="Arial" w:hAnsi="Arial" w:cs="Arial"/>
          <w:b/>
          <w:bCs/>
        </w:rPr>
        <w:t xml:space="preserve">Regla práctica: </w:t>
      </w:r>
      <w:r w:rsidRPr="00EF4D4C">
        <w:rPr>
          <w:rFonts w:ascii="Arial" w:hAnsi="Arial" w:cs="Arial"/>
        </w:rPr>
        <w:t>No se exige convivencia; basta el vínculo parental con NNA para activar competencia.</w:t>
      </w:r>
    </w:p>
    <w:p w14:paraId="6FDCA89C" w14:textId="77777777" w:rsidR="003C000F" w:rsidRPr="00EF4D4C" w:rsidRDefault="003C000F" w:rsidP="00486CEF">
      <w:pPr>
        <w:spacing w:line="276" w:lineRule="auto"/>
        <w:rPr>
          <w:rFonts w:ascii="Arial" w:hAnsi="Arial" w:cs="Arial"/>
        </w:rPr>
      </w:pPr>
    </w:p>
    <w:p w14:paraId="7F3D4CFF" w14:textId="77777777" w:rsidR="006D00D5" w:rsidRPr="00EF4D4C" w:rsidRDefault="006D00D5" w:rsidP="00486CEF">
      <w:pPr>
        <w:spacing w:line="276" w:lineRule="auto"/>
        <w:rPr>
          <w:rFonts w:ascii="Arial" w:hAnsi="Arial" w:cs="Arial"/>
          <w:b/>
          <w:bCs/>
        </w:rPr>
      </w:pPr>
      <w:r w:rsidRPr="00EF4D4C">
        <w:rPr>
          <w:rFonts w:ascii="Arial" w:hAnsi="Arial" w:cs="Arial"/>
          <w:b/>
          <w:bCs/>
        </w:rPr>
        <w:t>Literal C: Personas encargadas del cuidado</w:t>
      </w:r>
    </w:p>
    <w:p w14:paraId="6DBFDB3B" w14:textId="77777777" w:rsidR="006D00D5" w:rsidRPr="00EF4D4C" w:rsidRDefault="006D00D5" w:rsidP="00486CEF">
      <w:pPr>
        <w:spacing w:line="276" w:lineRule="auto"/>
        <w:rPr>
          <w:rFonts w:ascii="Arial" w:hAnsi="Arial" w:cs="Arial"/>
        </w:rPr>
      </w:pPr>
    </w:p>
    <w:p w14:paraId="744A455D" w14:textId="5B8370D7" w:rsidR="006D00D5" w:rsidRPr="00EF4D4C" w:rsidRDefault="3F9E1A65" w:rsidP="00486CEF">
      <w:pPr>
        <w:spacing w:line="276" w:lineRule="auto"/>
        <w:jc w:val="both"/>
        <w:rPr>
          <w:rFonts w:ascii="Arial" w:hAnsi="Arial" w:cs="Arial"/>
        </w:rPr>
      </w:pPr>
      <w:r w:rsidRPr="00EF4D4C">
        <w:rPr>
          <w:rFonts w:ascii="Arial" w:hAnsi="Arial" w:cs="Arial"/>
        </w:rPr>
        <w:t xml:space="preserve">Este literal </w:t>
      </w:r>
      <w:r w:rsidR="1702C18E" w:rsidRPr="00EF4D4C">
        <w:rPr>
          <w:rFonts w:ascii="Arial" w:eastAsia="Century Gothic" w:hAnsi="Arial" w:cs="Arial"/>
        </w:rPr>
        <w:t>amplia la noción tradicional de familia hacia relaciones de cuidado funcionales vinculadas a un núcleo familia</w:t>
      </w:r>
      <w:r w:rsidR="26B8DD14" w:rsidRPr="00EF4D4C">
        <w:rPr>
          <w:rFonts w:ascii="Arial" w:eastAsia="Century Gothic" w:hAnsi="Arial" w:cs="Arial"/>
        </w:rPr>
        <w:t>r</w:t>
      </w:r>
      <w:r w:rsidRPr="00EF4D4C">
        <w:rPr>
          <w:rFonts w:ascii="Arial" w:hAnsi="Arial" w:cs="Arial"/>
        </w:rPr>
        <w:t>. Reconoce que la relación de cuidado</w:t>
      </w:r>
      <w:r w:rsidR="451A4E22" w:rsidRPr="00EF4D4C">
        <w:rPr>
          <w:rFonts w:ascii="Arial" w:hAnsi="Arial" w:cs="Arial"/>
        </w:rPr>
        <w:t>, que</w:t>
      </w:r>
      <w:r w:rsidRPr="00EF4D4C">
        <w:rPr>
          <w:rFonts w:ascii="Arial" w:hAnsi="Arial" w:cs="Arial"/>
        </w:rPr>
        <w:t xml:space="preserve"> genera un vínculo funcional de protección.</w:t>
      </w:r>
    </w:p>
    <w:p w14:paraId="60540661" w14:textId="77777777" w:rsidR="003C000F" w:rsidRPr="00EF4D4C" w:rsidRDefault="003C000F" w:rsidP="00486CEF">
      <w:pPr>
        <w:spacing w:line="276" w:lineRule="auto"/>
        <w:jc w:val="center"/>
        <w:rPr>
          <w:rFonts w:ascii="Arial" w:hAnsi="Arial" w:cs="Arial"/>
          <w:b/>
          <w:bCs/>
        </w:rPr>
      </w:pPr>
    </w:p>
    <w:p w14:paraId="2E17C485" w14:textId="7CB714A2" w:rsidR="006D00D5" w:rsidRPr="00EF4D4C" w:rsidRDefault="00FD5823" w:rsidP="00FD5823">
      <w:pPr>
        <w:pStyle w:val="Descripcin"/>
        <w:jc w:val="center"/>
        <w:rPr>
          <w:rFonts w:ascii="Arial" w:hAnsi="Arial" w:cs="Arial"/>
          <w:b/>
          <w:bCs/>
          <w:i w:val="0"/>
          <w:iCs w:val="0"/>
          <w:color w:val="000000" w:themeColor="text1"/>
          <w:sz w:val="24"/>
          <w:szCs w:val="24"/>
        </w:rPr>
      </w:pPr>
      <w:bookmarkStart w:id="4" w:name="_Toc217301472"/>
      <w:r w:rsidRPr="00EF4D4C">
        <w:rPr>
          <w:rFonts w:ascii="Arial" w:hAnsi="Arial" w:cs="Arial"/>
          <w:b/>
          <w:bCs/>
          <w:i w:val="0"/>
          <w:iCs w:val="0"/>
          <w:color w:val="000000" w:themeColor="text1"/>
          <w:sz w:val="24"/>
          <w:szCs w:val="24"/>
        </w:rPr>
        <w:t xml:space="preserve">Tabla </w:t>
      </w:r>
      <w:r w:rsidRPr="00EF4D4C">
        <w:rPr>
          <w:rFonts w:ascii="Arial" w:hAnsi="Arial" w:cs="Arial"/>
          <w:b/>
          <w:bCs/>
          <w:i w:val="0"/>
          <w:iCs w:val="0"/>
          <w:color w:val="000000" w:themeColor="text1"/>
          <w:sz w:val="24"/>
          <w:szCs w:val="24"/>
        </w:rPr>
        <w:fldChar w:fldCharType="begin"/>
      </w:r>
      <w:r w:rsidRPr="00EF4D4C">
        <w:rPr>
          <w:rFonts w:ascii="Arial" w:hAnsi="Arial" w:cs="Arial"/>
          <w:b/>
          <w:bCs/>
          <w:i w:val="0"/>
          <w:iCs w:val="0"/>
          <w:color w:val="000000" w:themeColor="text1"/>
          <w:sz w:val="24"/>
          <w:szCs w:val="24"/>
        </w:rPr>
        <w:instrText xml:space="preserve"> SEQ Tabla \* ARABIC </w:instrText>
      </w:r>
      <w:r w:rsidRPr="00EF4D4C">
        <w:rPr>
          <w:rFonts w:ascii="Arial" w:hAnsi="Arial" w:cs="Arial"/>
          <w:b/>
          <w:bCs/>
          <w:i w:val="0"/>
          <w:iCs w:val="0"/>
          <w:color w:val="000000" w:themeColor="text1"/>
          <w:sz w:val="24"/>
          <w:szCs w:val="24"/>
        </w:rPr>
        <w:fldChar w:fldCharType="separate"/>
      </w:r>
      <w:r w:rsidR="007F5C59" w:rsidRPr="00EF4D4C">
        <w:rPr>
          <w:rFonts w:ascii="Arial" w:hAnsi="Arial" w:cs="Arial"/>
          <w:b/>
          <w:bCs/>
          <w:i w:val="0"/>
          <w:iCs w:val="0"/>
          <w:noProof/>
          <w:color w:val="000000" w:themeColor="text1"/>
          <w:sz w:val="24"/>
          <w:szCs w:val="24"/>
        </w:rPr>
        <w:t>5</w:t>
      </w:r>
      <w:r w:rsidRPr="00EF4D4C">
        <w:rPr>
          <w:rFonts w:ascii="Arial" w:hAnsi="Arial" w:cs="Arial"/>
          <w:b/>
          <w:bCs/>
          <w:i w:val="0"/>
          <w:iCs w:val="0"/>
          <w:color w:val="000000" w:themeColor="text1"/>
          <w:sz w:val="24"/>
          <w:szCs w:val="24"/>
        </w:rPr>
        <w:fldChar w:fldCharType="end"/>
      </w:r>
      <w:r w:rsidRPr="00EF4D4C">
        <w:rPr>
          <w:rFonts w:ascii="Arial" w:hAnsi="Arial" w:cs="Arial"/>
          <w:b/>
          <w:bCs/>
          <w:i w:val="0"/>
          <w:iCs w:val="0"/>
          <w:color w:val="000000" w:themeColor="text1"/>
          <w:sz w:val="24"/>
          <w:szCs w:val="24"/>
        </w:rPr>
        <w:t>.</w:t>
      </w:r>
      <w:r w:rsidR="003C000F" w:rsidRPr="00EF4D4C">
        <w:rPr>
          <w:rFonts w:ascii="Arial" w:hAnsi="Arial" w:cs="Arial"/>
          <w:b/>
          <w:bCs/>
          <w:i w:val="0"/>
          <w:iCs w:val="0"/>
          <w:color w:val="000000" w:themeColor="text1"/>
          <w:sz w:val="24"/>
          <w:szCs w:val="24"/>
        </w:rPr>
        <w:t>Sujetos incluidos en el literal C</w:t>
      </w:r>
      <w:bookmarkEnd w:id="4"/>
    </w:p>
    <w:tbl>
      <w:tblPr>
        <w:tblStyle w:val="Tablaconcuadrcula"/>
        <w:tblW w:w="8364" w:type="dxa"/>
        <w:tblLook w:val="04A0" w:firstRow="1" w:lastRow="0" w:firstColumn="1" w:lastColumn="0" w:noHBand="0" w:noVBand="1"/>
      </w:tblPr>
      <w:tblGrid>
        <w:gridCol w:w="4395"/>
        <w:gridCol w:w="3969"/>
      </w:tblGrid>
      <w:tr w:rsidR="00EE3142" w:rsidRPr="00EF4D4C" w14:paraId="083453DD" w14:textId="77777777" w:rsidTr="007A3F75">
        <w:tc>
          <w:tcPr>
            <w:tcW w:w="4395" w:type="dxa"/>
            <w:shd w:val="clear" w:color="auto" w:fill="1F3A5F"/>
            <w:hideMark/>
          </w:tcPr>
          <w:p w14:paraId="60DAE108" w14:textId="47BE3AA7" w:rsidR="003C000F" w:rsidRPr="00EF4D4C" w:rsidRDefault="00F64A22" w:rsidP="00486CEF">
            <w:pPr>
              <w:spacing w:line="276" w:lineRule="auto"/>
              <w:jc w:val="center"/>
              <w:rPr>
                <w:rFonts w:ascii="Arial" w:eastAsia="Times New Roman" w:hAnsi="Arial" w:cs="Arial"/>
                <w:b/>
                <w:bCs/>
                <w:kern w:val="0"/>
                <w:lang w:eastAsia="es-ES"/>
                <w14:ligatures w14:val="none"/>
              </w:rPr>
            </w:pPr>
            <w:r w:rsidRPr="00EF4D4C">
              <w:rPr>
                <w:rFonts w:ascii="Arial" w:eastAsia="Times New Roman" w:hAnsi="Arial" w:cs="Arial"/>
                <w:b/>
                <w:bCs/>
                <w:kern w:val="0"/>
                <w:lang w:eastAsia="es-ES"/>
                <w14:ligatures w14:val="none"/>
              </w:rPr>
              <w:t xml:space="preserve"> Elemento</w:t>
            </w:r>
          </w:p>
        </w:tc>
        <w:tc>
          <w:tcPr>
            <w:tcW w:w="3969" w:type="dxa"/>
            <w:shd w:val="clear" w:color="auto" w:fill="1F3A5F"/>
            <w:hideMark/>
          </w:tcPr>
          <w:p w14:paraId="47F7CB05" w14:textId="5C631ECF" w:rsidR="003C000F" w:rsidRPr="00EF4D4C" w:rsidRDefault="00F64A22" w:rsidP="00486CEF">
            <w:pPr>
              <w:spacing w:line="276" w:lineRule="auto"/>
              <w:jc w:val="center"/>
              <w:rPr>
                <w:rFonts w:ascii="Arial" w:eastAsia="Times New Roman" w:hAnsi="Arial" w:cs="Arial"/>
                <w:b/>
                <w:bCs/>
                <w:kern w:val="0"/>
                <w:lang w:eastAsia="es-ES"/>
                <w14:ligatures w14:val="none"/>
              </w:rPr>
            </w:pPr>
            <w:r w:rsidRPr="00EF4D4C">
              <w:rPr>
                <w:rFonts w:ascii="Arial" w:eastAsia="Times New Roman" w:hAnsi="Arial" w:cs="Arial"/>
                <w:b/>
                <w:bCs/>
                <w:kern w:val="0"/>
                <w:lang w:eastAsia="es-ES"/>
                <w14:ligatures w14:val="none"/>
              </w:rPr>
              <w:t xml:space="preserve"> Descripción</w:t>
            </w:r>
          </w:p>
        </w:tc>
      </w:tr>
      <w:tr w:rsidR="00EE3142" w:rsidRPr="00EF4D4C" w14:paraId="03DA29E9" w14:textId="77777777" w:rsidTr="00F64A22">
        <w:tc>
          <w:tcPr>
            <w:tcW w:w="4395" w:type="dxa"/>
            <w:shd w:val="clear" w:color="auto" w:fill="AEBFD6"/>
            <w:hideMark/>
          </w:tcPr>
          <w:p w14:paraId="5A81FEFB" w14:textId="77777777" w:rsidR="003C000F" w:rsidRPr="00EF4D4C" w:rsidRDefault="26DDC584" w:rsidP="00486CEF">
            <w:pPr>
              <w:spacing w:line="276" w:lineRule="auto"/>
              <w:jc w:val="center"/>
              <w:rPr>
                <w:rFonts w:ascii="Arial" w:eastAsia="Times New Roman" w:hAnsi="Arial" w:cs="Arial"/>
                <w:b/>
                <w:bCs/>
                <w:kern w:val="0"/>
                <w:lang w:eastAsia="es-ES"/>
                <w14:ligatures w14:val="none"/>
              </w:rPr>
            </w:pPr>
            <w:r w:rsidRPr="00EF4D4C">
              <w:rPr>
                <w:rFonts w:ascii="Arial" w:eastAsia="Times New Roman" w:hAnsi="Arial" w:cs="Arial"/>
                <w:b/>
                <w:bCs/>
                <w:kern w:val="0"/>
                <w:lang w:eastAsia="es-ES"/>
                <w14:ligatures w14:val="none"/>
              </w:rPr>
              <w:t xml:space="preserve"> Sujeto activo (Agresor)</w:t>
            </w:r>
          </w:p>
        </w:tc>
        <w:tc>
          <w:tcPr>
            <w:tcW w:w="3969" w:type="dxa"/>
            <w:shd w:val="clear" w:color="auto" w:fill="AEBFD6"/>
            <w:hideMark/>
          </w:tcPr>
          <w:p w14:paraId="481FB7C7" w14:textId="77777777" w:rsidR="003C000F" w:rsidRPr="00EF4D4C" w:rsidRDefault="0B96C6D4" w:rsidP="00486CEF">
            <w:pPr>
              <w:spacing w:line="276" w:lineRule="auto"/>
              <w:jc w:val="both"/>
              <w:rPr>
                <w:rFonts w:ascii="Arial" w:eastAsia="Times New Roman" w:hAnsi="Arial" w:cs="Arial"/>
                <w:kern w:val="0"/>
                <w:lang w:eastAsia="es-ES"/>
                <w14:ligatures w14:val="none"/>
              </w:rPr>
            </w:pPr>
            <w:r w:rsidRPr="00EF4D4C">
              <w:rPr>
                <w:rFonts w:ascii="Arial" w:eastAsia="Times New Roman" w:hAnsi="Arial" w:cs="Arial"/>
                <w:kern w:val="0"/>
                <w:lang w:eastAsia="es-ES"/>
                <w14:ligatures w14:val="none"/>
              </w:rPr>
              <w:t xml:space="preserve"> Personas encargadas del cuidado de uno o varios miembros de una familia</w:t>
            </w:r>
          </w:p>
        </w:tc>
      </w:tr>
      <w:tr w:rsidR="00EE3142" w:rsidRPr="00EF4D4C" w14:paraId="2B1026C5" w14:textId="77777777" w:rsidTr="00F64A22">
        <w:tc>
          <w:tcPr>
            <w:tcW w:w="4395" w:type="dxa"/>
            <w:shd w:val="clear" w:color="auto" w:fill="AEBFD6"/>
            <w:hideMark/>
          </w:tcPr>
          <w:p w14:paraId="6386703D" w14:textId="49A63A9C" w:rsidR="003C000F" w:rsidRPr="00EF4D4C" w:rsidRDefault="1CC58C50" w:rsidP="00486CEF">
            <w:pPr>
              <w:spacing w:line="276" w:lineRule="auto"/>
              <w:jc w:val="center"/>
              <w:rPr>
                <w:rFonts w:ascii="Arial" w:eastAsia="Times New Roman" w:hAnsi="Arial" w:cs="Arial"/>
                <w:b/>
                <w:bCs/>
                <w:kern w:val="0"/>
                <w:lang w:eastAsia="es-ES"/>
                <w14:ligatures w14:val="none"/>
              </w:rPr>
            </w:pPr>
            <w:r w:rsidRPr="00EF4D4C">
              <w:rPr>
                <w:rFonts w:ascii="Arial" w:eastAsia="Times New Roman" w:hAnsi="Arial" w:cs="Arial"/>
                <w:b/>
                <w:bCs/>
                <w:kern w:val="0"/>
                <w:lang w:eastAsia="es-ES"/>
                <w14:ligatures w14:val="none"/>
              </w:rPr>
              <w:t xml:space="preserve"> </w:t>
            </w:r>
            <w:r w:rsidRPr="00EF4D4C">
              <w:rPr>
                <w:rFonts w:ascii="Arial" w:eastAsia="Times New Roman" w:hAnsi="Arial" w:cs="Arial"/>
                <w:b/>
                <w:bCs/>
                <w:lang w:eastAsia="es-ES"/>
              </w:rPr>
              <w:t>Características del Sujeto Activo</w:t>
            </w:r>
          </w:p>
        </w:tc>
        <w:tc>
          <w:tcPr>
            <w:tcW w:w="3969" w:type="dxa"/>
            <w:shd w:val="clear" w:color="auto" w:fill="AEBFD6"/>
            <w:hideMark/>
          </w:tcPr>
          <w:p w14:paraId="378CAE86" w14:textId="6FF30D7F" w:rsidR="003C000F" w:rsidRPr="00EF4D4C" w:rsidRDefault="6ECC4349" w:rsidP="00C532E8">
            <w:pPr>
              <w:spacing w:line="276" w:lineRule="auto"/>
              <w:jc w:val="both"/>
              <w:rPr>
                <w:rFonts w:ascii="Arial" w:eastAsia="Times New Roman" w:hAnsi="Arial" w:cs="Arial"/>
                <w:lang w:eastAsia="es-ES"/>
              </w:rPr>
            </w:pPr>
            <w:r w:rsidRPr="00EF4D4C">
              <w:rPr>
                <w:rFonts w:ascii="Arial" w:eastAsia="Times New Roman" w:hAnsi="Arial" w:cs="Arial"/>
                <w:lang w:eastAsia="es-ES"/>
              </w:rPr>
              <w:t xml:space="preserve"> Que NO sean parte del núcleo familiar</w:t>
            </w:r>
          </w:p>
        </w:tc>
      </w:tr>
      <w:tr w:rsidR="00EE3142" w:rsidRPr="00EF4D4C" w14:paraId="02964049" w14:textId="77777777" w:rsidTr="00F64A22">
        <w:tc>
          <w:tcPr>
            <w:tcW w:w="4395" w:type="dxa"/>
            <w:shd w:val="clear" w:color="auto" w:fill="AEBFD6"/>
            <w:hideMark/>
          </w:tcPr>
          <w:p w14:paraId="25AC101C" w14:textId="1D0C418F" w:rsidR="003C000F" w:rsidRPr="00EF4D4C" w:rsidRDefault="0F80C8F2" w:rsidP="00486CEF">
            <w:pPr>
              <w:spacing w:line="276" w:lineRule="auto"/>
              <w:jc w:val="center"/>
              <w:rPr>
                <w:rFonts w:ascii="Arial" w:eastAsia="Times New Roman" w:hAnsi="Arial" w:cs="Arial"/>
                <w:b/>
                <w:bCs/>
                <w:kern w:val="0"/>
                <w:lang w:eastAsia="es-ES"/>
                <w14:ligatures w14:val="none"/>
              </w:rPr>
            </w:pPr>
            <w:r w:rsidRPr="00EF4D4C">
              <w:rPr>
                <w:rFonts w:ascii="Arial" w:eastAsia="Times New Roman" w:hAnsi="Arial" w:cs="Arial"/>
                <w:b/>
                <w:bCs/>
                <w:kern w:val="0"/>
                <w:lang w:eastAsia="es-ES"/>
                <w14:ligatures w14:val="none"/>
              </w:rPr>
              <w:t xml:space="preserve"> Localizaci</w:t>
            </w:r>
            <w:r w:rsidRPr="00EF4D4C">
              <w:rPr>
                <w:rFonts w:ascii="Arial" w:eastAsia="Times New Roman" w:hAnsi="Arial" w:cs="Arial"/>
                <w:b/>
                <w:bCs/>
                <w:lang w:eastAsia="es-ES"/>
              </w:rPr>
              <w:t>ón de la Conducta</w:t>
            </w:r>
          </w:p>
        </w:tc>
        <w:tc>
          <w:tcPr>
            <w:tcW w:w="3969" w:type="dxa"/>
            <w:shd w:val="clear" w:color="auto" w:fill="AEBFD6"/>
            <w:hideMark/>
          </w:tcPr>
          <w:p w14:paraId="54F2D305" w14:textId="0EB329E4" w:rsidR="003C000F" w:rsidRPr="00EF4D4C" w:rsidRDefault="267FF158" w:rsidP="00C532E8">
            <w:pPr>
              <w:spacing w:line="276" w:lineRule="auto"/>
              <w:jc w:val="both"/>
              <w:rPr>
                <w:rFonts w:ascii="Arial" w:eastAsia="Times New Roman" w:hAnsi="Arial" w:cs="Arial"/>
                <w:lang w:eastAsia="es-ES"/>
              </w:rPr>
            </w:pPr>
            <w:r w:rsidRPr="00EF4D4C">
              <w:rPr>
                <w:rFonts w:ascii="Arial" w:eastAsia="Times New Roman" w:hAnsi="Arial" w:cs="Arial"/>
                <w:lang w:eastAsia="es-ES"/>
              </w:rPr>
              <w:t xml:space="preserve"> En su domicilio o residencia o cualquier lugar en que se realice la conducta</w:t>
            </w:r>
          </w:p>
        </w:tc>
      </w:tr>
      <w:tr w:rsidR="00EE3142" w:rsidRPr="00EF4D4C" w14:paraId="5F9A44DE" w14:textId="77777777" w:rsidTr="00F64A22">
        <w:tc>
          <w:tcPr>
            <w:tcW w:w="4395" w:type="dxa"/>
            <w:shd w:val="clear" w:color="auto" w:fill="AEBFD6"/>
            <w:hideMark/>
          </w:tcPr>
          <w:p w14:paraId="592CDF59" w14:textId="77777777" w:rsidR="003C000F" w:rsidRPr="00EF4D4C" w:rsidRDefault="5F8B9DD3" w:rsidP="00486CEF">
            <w:pPr>
              <w:spacing w:line="276" w:lineRule="auto"/>
              <w:jc w:val="center"/>
              <w:rPr>
                <w:rFonts w:ascii="Arial" w:eastAsia="Times New Roman" w:hAnsi="Arial" w:cs="Arial"/>
                <w:b/>
                <w:bCs/>
                <w:kern w:val="0"/>
                <w:lang w:eastAsia="es-ES"/>
                <w14:ligatures w14:val="none"/>
              </w:rPr>
            </w:pPr>
            <w:r w:rsidRPr="00EF4D4C">
              <w:rPr>
                <w:rFonts w:ascii="Arial" w:eastAsia="Times New Roman" w:hAnsi="Arial" w:cs="Arial"/>
                <w:b/>
                <w:bCs/>
                <w:kern w:val="0"/>
                <w:lang w:eastAsia="es-ES"/>
                <w14:ligatures w14:val="none"/>
              </w:rPr>
              <w:t xml:space="preserve"> Sujeto Pasivo</w:t>
            </w:r>
          </w:p>
        </w:tc>
        <w:tc>
          <w:tcPr>
            <w:tcW w:w="3969" w:type="dxa"/>
            <w:shd w:val="clear" w:color="auto" w:fill="AEBFD6"/>
            <w:hideMark/>
          </w:tcPr>
          <w:p w14:paraId="29814755" w14:textId="5B3481C0" w:rsidR="003C000F" w:rsidRPr="00EF4D4C" w:rsidRDefault="24E00513" w:rsidP="00C532E8">
            <w:pPr>
              <w:spacing w:line="276" w:lineRule="auto"/>
              <w:jc w:val="both"/>
              <w:rPr>
                <w:rFonts w:ascii="Arial" w:eastAsia="Times New Roman" w:hAnsi="Arial" w:cs="Arial"/>
                <w:lang w:eastAsia="es-ES"/>
              </w:rPr>
            </w:pPr>
            <w:r w:rsidRPr="00EF4D4C">
              <w:rPr>
                <w:rFonts w:ascii="Arial" w:eastAsia="Times New Roman" w:hAnsi="Arial" w:cs="Arial"/>
                <w:lang w:eastAsia="es-ES"/>
              </w:rPr>
              <w:t xml:space="preserve"> Los integrantes de la familia</w:t>
            </w:r>
          </w:p>
        </w:tc>
      </w:tr>
    </w:tbl>
    <w:p w14:paraId="3E538D91" w14:textId="46F012CF" w:rsidR="00FD5823" w:rsidRPr="00EF4D4C" w:rsidRDefault="00023663" w:rsidP="005C313B">
      <w:pPr>
        <w:spacing w:line="276" w:lineRule="auto"/>
        <w:jc w:val="center"/>
        <w:rPr>
          <w:rFonts w:ascii="Arial" w:eastAsia="Times New Roman" w:hAnsi="Arial" w:cs="Arial"/>
          <w:b/>
          <w:bCs/>
          <w:color w:val="000000" w:themeColor="text1"/>
          <w:kern w:val="0"/>
          <w:lang w:eastAsia="es-ES_tradnl"/>
          <w14:ligatures w14:val="none"/>
        </w:rPr>
      </w:pPr>
      <w:r w:rsidRPr="00EF4D4C">
        <w:rPr>
          <w:rFonts w:ascii="Arial" w:eastAsia="Times New Roman" w:hAnsi="Arial" w:cs="Arial"/>
          <w:b/>
          <w:bCs/>
          <w:color w:val="000000" w:themeColor="text1"/>
          <w:kern w:val="0"/>
          <w:lang w:eastAsia="es-ES_tradnl"/>
          <w14:ligatures w14:val="none"/>
        </w:rPr>
        <w:lastRenderedPageBreak/>
        <w:t>Elaboración propia, Consorcio Red de Comisarias 2025</w:t>
      </w:r>
    </w:p>
    <w:p w14:paraId="2C4070EB" w14:textId="094B86D2" w:rsidR="003C000F" w:rsidRPr="00EF4D4C" w:rsidRDefault="246EEC92" w:rsidP="00486CEF">
      <w:pPr>
        <w:spacing w:before="240" w:after="240" w:line="276" w:lineRule="auto"/>
        <w:jc w:val="both"/>
        <w:rPr>
          <w:rFonts w:ascii="Arial" w:hAnsi="Arial" w:cs="Arial"/>
        </w:rPr>
      </w:pPr>
      <w:r w:rsidRPr="00EF4D4C">
        <w:rPr>
          <w:rFonts w:ascii="Arial" w:eastAsia="Times New Roman" w:hAnsi="Arial" w:cs="Arial"/>
          <w:b/>
          <w:bCs/>
          <w:color w:val="000000" w:themeColor="text1"/>
          <w:kern w:val="0"/>
          <w:lang w:eastAsia="es-ES"/>
          <w14:ligatures w14:val="none"/>
        </w:rPr>
        <w:t>Regla práctica:</w:t>
      </w:r>
      <w:r w:rsidRPr="00EF4D4C">
        <w:rPr>
          <w:rFonts w:ascii="Arial" w:eastAsia="Times New Roman" w:hAnsi="Arial" w:cs="Arial"/>
          <w:color w:val="000000" w:themeColor="text1"/>
          <w:kern w:val="0"/>
          <w:lang w:eastAsia="es-ES"/>
          <w14:ligatures w14:val="none"/>
        </w:rPr>
        <w:t xml:space="preserve"> Existe </w:t>
      </w:r>
      <w:r w:rsidR="5981B696" w:rsidRPr="00EF4D4C">
        <w:rPr>
          <w:rFonts w:ascii="Arial" w:eastAsia="Times New Roman" w:hAnsi="Arial" w:cs="Arial"/>
          <w:color w:val="000000" w:themeColor="text1"/>
          <w:kern w:val="0"/>
          <w:lang w:eastAsia="es-ES"/>
          <w14:ligatures w14:val="none"/>
        </w:rPr>
        <w:t>VCF</w:t>
      </w:r>
      <w:r w:rsidRPr="00EF4D4C">
        <w:rPr>
          <w:rFonts w:ascii="Arial" w:eastAsia="Times New Roman" w:hAnsi="Arial" w:cs="Arial"/>
          <w:color w:val="000000" w:themeColor="text1"/>
          <w:lang w:eastAsia="es-ES"/>
        </w:rPr>
        <w:t xml:space="preserve"> </w:t>
      </w:r>
      <w:r w:rsidR="27467154" w:rsidRPr="00EF4D4C">
        <w:rPr>
          <w:rFonts w:ascii="Arial" w:eastAsia="Century Gothic" w:hAnsi="Arial" w:cs="Arial"/>
        </w:rPr>
        <w:t xml:space="preserve">cuando la conducta violenta se produce en el marco de una </w:t>
      </w:r>
      <w:r w:rsidR="27467154" w:rsidRPr="00EF4D4C">
        <w:rPr>
          <w:rFonts w:ascii="Arial" w:eastAsia="Century Gothic" w:hAnsi="Arial" w:cs="Arial"/>
          <w:b/>
          <w:bCs/>
        </w:rPr>
        <w:t>relación estable de cuidado personal</w:t>
      </w:r>
      <w:r w:rsidR="27467154" w:rsidRPr="00EF4D4C">
        <w:rPr>
          <w:rFonts w:ascii="Arial" w:eastAsia="Century Gothic" w:hAnsi="Arial" w:cs="Arial"/>
        </w:rPr>
        <w:t xml:space="preserve"> entre una persona cuidadora y uno o varios integrantes de </w:t>
      </w:r>
      <w:r w:rsidR="285F70C5" w:rsidRPr="00EF4D4C">
        <w:rPr>
          <w:rFonts w:ascii="Arial" w:eastAsia="Century Gothic" w:hAnsi="Arial" w:cs="Arial"/>
        </w:rPr>
        <w:t>la</w:t>
      </w:r>
      <w:r w:rsidR="27467154" w:rsidRPr="00EF4D4C">
        <w:rPr>
          <w:rFonts w:ascii="Arial" w:eastAsia="Century Gothic" w:hAnsi="Arial" w:cs="Arial"/>
        </w:rPr>
        <w:t xml:space="preserve"> familia, </w:t>
      </w:r>
      <w:r w:rsidR="27467154" w:rsidRPr="00EF4D4C">
        <w:rPr>
          <w:rFonts w:ascii="Arial" w:eastAsia="Century Gothic" w:hAnsi="Arial" w:cs="Arial"/>
          <w:b/>
          <w:bCs/>
        </w:rPr>
        <w:t xml:space="preserve">en el domicilio, residencia u otros </w:t>
      </w:r>
      <w:r w:rsidR="6510D378" w:rsidRPr="00EF4D4C">
        <w:rPr>
          <w:rFonts w:ascii="Arial" w:eastAsia="Century Gothic" w:hAnsi="Arial" w:cs="Arial"/>
          <w:b/>
          <w:bCs/>
        </w:rPr>
        <w:t>espacios de</w:t>
      </w:r>
      <w:r w:rsidR="27467154" w:rsidRPr="00EF4D4C">
        <w:rPr>
          <w:rFonts w:ascii="Arial" w:eastAsia="Century Gothic" w:hAnsi="Arial" w:cs="Arial"/>
          <w:b/>
          <w:bCs/>
        </w:rPr>
        <w:t xml:space="preserve"> cuidado</w:t>
      </w:r>
      <w:r w:rsidR="27467154" w:rsidRPr="00EF4D4C">
        <w:rPr>
          <w:rFonts w:ascii="Arial" w:eastAsia="Century Gothic" w:hAnsi="Arial" w:cs="Arial"/>
        </w:rPr>
        <w:t xml:space="preserve">, y la agresión está vinculada directa o indirectamente a esa relación de cuidado; </w:t>
      </w:r>
      <w:r w:rsidR="10EDCF1F" w:rsidRPr="00EF4D4C">
        <w:rPr>
          <w:rFonts w:ascii="Arial" w:eastAsia="Century Gothic" w:hAnsi="Arial" w:cs="Arial"/>
        </w:rPr>
        <w:t xml:space="preserve">aún </w:t>
      </w:r>
      <w:r w:rsidR="10EDCF1F" w:rsidRPr="00EF4D4C">
        <w:rPr>
          <w:rFonts w:ascii="Arial" w:eastAsia="Times New Roman" w:hAnsi="Arial" w:cs="Arial"/>
          <w:color w:val="000000" w:themeColor="text1"/>
          <w:lang w:eastAsia="es-ES"/>
        </w:rPr>
        <w:t>sin parentesco.</w:t>
      </w:r>
    </w:p>
    <w:p w14:paraId="056C4622" w14:textId="2EC7C6F2" w:rsidR="006D00D5" w:rsidRPr="00EF4D4C" w:rsidRDefault="3F9E1A65" w:rsidP="00880BFB">
      <w:pPr>
        <w:spacing w:before="240" w:after="240" w:line="276" w:lineRule="auto"/>
        <w:jc w:val="both"/>
        <w:rPr>
          <w:rFonts w:ascii="Arial" w:hAnsi="Arial" w:cs="Arial"/>
          <w:b/>
          <w:bCs/>
        </w:rPr>
      </w:pPr>
      <w:r w:rsidRPr="00EF4D4C">
        <w:rPr>
          <w:rFonts w:ascii="Arial" w:hAnsi="Arial" w:cs="Arial"/>
          <w:b/>
          <w:bCs/>
        </w:rPr>
        <w:t>Literal D: Personas que residen en el mismo hogar o unidad doméstica</w:t>
      </w:r>
    </w:p>
    <w:p w14:paraId="0050ED5F" w14:textId="20EB2BFD" w:rsidR="006D00D5" w:rsidRPr="00EF4D4C" w:rsidRDefault="3F9E1A65" w:rsidP="00880BFB">
      <w:pPr>
        <w:spacing w:line="276" w:lineRule="auto"/>
        <w:ind w:firstLine="720"/>
        <w:jc w:val="both"/>
        <w:rPr>
          <w:rFonts w:ascii="Arial" w:hAnsi="Arial" w:cs="Arial"/>
        </w:rPr>
      </w:pPr>
      <w:r w:rsidRPr="00EF4D4C">
        <w:rPr>
          <w:rFonts w:ascii="Arial" w:hAnsi="Arial" w:cs="Arial"/>
        </w:rPr>
        <w:t xml:space="preserve">Este literal requiere una lectura </w:t>
      </w:r>
      <w:r w:rsidR="6719F49D" w:rsidRPr="00EF4D4C">
        <w:rPr>
          <w:rFonts w:ascii="Arial" w:hAnsi="Arial" w:cs="Arial"/>
        </w:rPr>
        <w:t xml:space="preserve">teniendo en cuenta el contexto. </w:t>
      </w:r>
      <w:r w:rsidRPr="00EF4D4C">
        <w:rPr>
          <w:rFonts w:ascii="Arial" w:hAnsi="Arial" w:cs="Arial"/>
        </w:rPr>
        <w:t xml:space="preserve"> No se debe interpretar vivienda como un domicilio inscrito, sino como un espacio de convivencia real.</w:t>
      </w:r>
    </w:p>
    <w:p w14:paraId="6B8D9705" w14:textId="18929840" w:rsidR="006D00D5" w:rsidRPr="00EF4D4C" w:rsidRDefault="006D00D5" w:rsidP="00880BFB">
      <w:pPr>
        <w:spacing w:line="276" w:lineRule="auto"/>
        <w:rPr>
          <w:rFonts w:ascii="Arial" w:hAnsi="Arial" w:cs="Arial"/>
          <w:b/>
          <w:bCs/>
        </w:rPr>
      </w:pPr>
    </w:p>
    <w:p w14:paraId="0FF0B1BD" w14:textId="29DF3E74" w:rsidR="00D34F8A" w:rsidRPr="00EF4D4C" w:rsidRDefault="00B81542" w:rsidP="00880BFB">
      <w:pPr>
        <w:spacing w:line="276" w:lineRule="auto"/>
        <w:ind w:left="720"/>
        <w:jc w:val="center"/>
        <w:rPr>
          <w:rFonts w:ascii="Arial" w:hAnsi="Arial" w:cs="Arial"/>
          <w:b/>
          <w:bCs/>
        </w:rPr>
      </w:pPr>
      <w:r w:rsidRPr="00EF4D4C">
        <w:rPr>
          <w:rFonts w:ascii="Arial" w:hAnsi="Arial" w:cs="Arial"/>
          <w:b/>
          <w:bCs/>
          <w:noProof/>
        </w:rPr>
        <w:drawing>
          <wp:inline distT="0" distB="0" distL="0" distR="0" wp14:anchorId="2A150D5C" wp14:editId="1DED1AE8">
            <wp:extent cx="4690001" cy="3048000"/>
            <wp:effectExtent l="0" t="0" r="0" b="0"/>
            <wp:docPr id="1710001503"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656" t="4330" b="21381"/>
                    <a:stretch>
                      <a:fillRect/>
                    </a:stretch>
                  </pic:blipFill>
                  <pic:spPr bwMode="auto">
                    <a:xfrm>
                      <a:off x="0" y="0"/>
                      <a:ext cx="4923900" cy="3200010"/>
                    </a:xfrm>
                    <a:prstGeom prst="rect">
                      <a:avLst/>
                    </a:prstGeom>
                    <a:noFill/>
                    <a:ln>
                      <a:noFill/>
                    </a:ln>
                    <a:extLst>
                      <a:ext uri="{53640926-AAD7-44D8-BBD7-CCE9431645EC}">
                        <a14:shadowObscured xmlns:a14="http://schemas.microsoft.com/office/drawing/2010/main"/>
                      </a:ext>
                    </a:extLst>
                  </pic:spPr>
                </pic:pic>
              </a:graphicData>
            </a:graphic>
          </wp:inline>
        </w:drawing>
      </w:r>
    </w:p>
    <w:p w14:paraId="555179B7" w14:textId="77777777" w:rsidR="00D34F8A" w:rsidRPr="00EF4D4C" w:rsidRDefault="00D34F8A" w:rsidP="00486CEF">
      <w:pPr>
        <w:spacing w:line="276" w:lineRule="auto"/>
        <w:ind w:left="720"/>
        <w:rPr>
          <w:rFonts w:ascii="Arial" w:hAnsi="Arial" w:cs="Arial"/>
        </w:rPr>
      </w:pPr>
    </w:p>
    <w:p w14:paraId="31E79699" w14:textId="018A2DDC" w:rsidR="006D00D5" w:rsidRPr="00EF4D4C" w:rsidRDefault="3F9E1A65" w:rsidP="00C532E8">
      <w:pPr>
        <w:spacing w:line="276" w:lineRule="auto"/>
        <w:jc w:val="both"/>
        <w:rPr>
          <w:rFonts w:ascii="Arial" w:hAnsi="Arial" w:cs="Arial"/>
        </w:rPr>
      </w:pPr>
      <w:r w:rsidRPr="00EF4D4C">
        <w:rPr>
          <w:rFonts w:ascii="Arial" w:hAnsi="Arial" w:cs="Arial"/>
          <w:b/>
          <w:bCs/>
        </w:rPr>
        <w:t xml:space="preserve">Regla práctica: </w:t>
      </w:r>
      <w:r w:rsidRPr="00EF4D4C">
        <w:rPr>
          <w:rFonts w:ascii="Arial" w:hAnsi="Arial" w:cs="Arial"/>
        </w:rPr>
        <w:t xml:space="preserve">Compartir vivienda </w:t>
      </w:r>
      <w:r w:rsidR="7E06109C" w:rsidRPr="00EF4D4C">
        <w:rPr>
          <w:rFonts w:ascii="Arial" w:hAnsi="Arial" w:cs="Arial"/>
        </w:rPr>
        <w:t xml:space="preserve">no </w:t>
      </w:r>
      <w:r w:rsidRPr="00EF4D4C">
        <w:rPr>
          <w:rFonts w:ascii="Arial" w:hAnsi="Arial" w:cs="Arial"/>
        </w:rPr>
        <w:t xml:space="preserve">es suficiente para configurar </w:t>
      </w:r>
      <w:r w:rsidR="5981B696" w:rsidRPr="00EF4D4C">
        <w:rPr>
          <w:rFonts w:ascii="Arial" w:hAnsi="Arial" w:cs="Arial"/>
        </w:rPr>
        <w:t>VCF</w:t>
      </w:r>
      <w:r w:rsidR="54B2CC06" w:rsidRPr="00EF4D4C">
        <w:rPr>
          <w:rFonts w:ascii="Arial" w:hAnsi="Arial" w:cs="Arial"/>
        </w:rPr>
        <w:t xml:space="preserve">. </w:t>
      </w:r>
      <w:r w:rsidR="759C8364" w:rsidRPr="00EF4D4C">
        <w:rPr>
          <w:rFonts w:ascii="Arial" w:eastAsia="Century Gothic" w:hAnsi="Arial" w:cs="Arial"/>
        </w:rPr>
        <w:t>Personas que comparten un espacio de convivencia real y estable, sin requerir vínculo</w:t>
      </w:r>
      <w:r w:rsidR="5B26832E" w:rsidRPr="00EF4D4C">
        <w:rPr>
          <w:rFonts w:ascii="Arial" w:eastAsia="Century Gothic" w:hAnsi="Arial" w:cs="Arial"/>
        </w:rPr>
        <w:t xml:space="preserve"> de parentesco</w:t>
      </w:r>
      <w:r w:rsidR="759C8364" w:rsidRPr="00EF4D4C">
        <w:rPr>
          <w:rFonts w:ascii="Arial" w:eastAsia="Century Gothic" w:hAnsi="Arial" w:cs="Arial"/>
        </w:rPr>
        <w:t xml:space="preserve"> o domicilio formal. Incluye familias de crianza y otras formas de unidad doméstica</w:t>
      </w:r>
      <w:r w:rsidRPr="00EF4D4C">
        <w:rPr>
          <w:rFonts w:ascii="Arial" w:hAnsi="Arial" w:cs="Arial"/>
        </w:rPr>
        <w:t>.</w:t>
      </w:r>
    </w:p>
    <w:p w14:paraId="1C89481F" w14:textId="77777777" w:rsidR="006D00D5" w:rsidRPr="00EF4D4C" w:rsidRDefault="006D00D5" w:rsidP="00486CEF">
      <w:pPr>
        <w:spacing w:line="276" w:lineRule="auto"/>
        <w:rPr>
          <w:rFonts w:ascii="Arial" w:hAnsi="Arial" w:cs="Arial"/>
        </w:rPr>
      </w:pPr>
    </w:p>
    <w:p w14:paraId="59A08D40" w14:textId="77777777" w:rsidR="006D00D5" w:rsidRPr="00EF4D4C" w:rsidRDefault="006D00D5" w:rsidP="00486CEF">
      <w:pPr>
        <w:spacing w:line="276" w:lineRule="auto"/>
        <w:jc w:val="both"/>
        <w:rPr>
          <w:rFonts w:ascii="Arial" w:hAnsi="Arial" w:cs="Arial"/>
          <w:b/>
          <w:bCs/>
        </w:rPr>
      </w:pPr>
      <w:r w:rsidRPr="00EF4D4C">
        <w:rPr>
          <w:rFonts w:ascii="Arial" w:hAnsi="Arial" w:cs="Arial"/>
          <w:b/>
          <w:bCs/>
        </w:rPr>
        <w:t>Literal E: Relaciones de pareja actuales o pasadas con vocación de permanencia</w:t>
      </w:r>
    </w:p>
    <w:p w14:paraId="7F57AEBB" w14:textId="77777777" w:rsidR="006D00D5" w:rsidRPr="00EF4D4C" w:rsidRDefault="006D00D5" w:rsidP="00486CEF">
      <w:pPr>
        <w:spacing w:line="276" w:lineRule="auto"/>
        <w:rPr>
          <w:rFonts w:ascii="Arial" w:hAnsi="Arial" w:cs="Arial"/>
        </w:rPr>
      </w:pPr>
    </w:p>
    <w:p w14:paraId="61D73E02" w14:textId="77777777" w:rsidR="006D00D5" w:rsidRPr="00EF4D4C" w:rsidRDefault="006D00D5" w:rsidP="00486CEF">
      <w:pPr>
        <w:spacing w:line="276" w:lineRule="auto"/>
        <w:rPr>
          <w:rFonts w:ascii="Arial" w:hAnsi="Arial" w:cs="Arial"/>
        </w:rPr>
      </w:pPr>
      <w:r w:rsidRPr="00EF4D4C">
        <w:rPr>
          <w:rFonts w:ascii="Arial" w:hAnsi="Arial" w:cs="Arial"/>
        </w:rPr>
        <w:t>Este literal reconoce que la vida afectiva contemporánea excede las estructuras del matrimonio y la convivencia. La ley protege relaciones estables aun sin cohabitar.</w:t>
      </w:r>
    </w:p>
    <w:p w14:paraId="1972B928" w14:textId="77777777" w:rsidR="006D00D5" w:rsidRPr="00EF4D4C" w:rsidRDefault="006D00D5" w:rsidP="00486CEF">
      <w:pPr>
        <w:spacing w:line="276" w:lineRule="auto"/>
        <w:rPr>
          <w:rFonts w:ascii="Arial" w:hAnsi="Arial" w:cs="Arial"/>
        </w:rPr>
      </w:pPr>
    </w:p>
    <w:p w14:paraId="6DA9955A" w14:textId="4E8190E5" w:rsidR="006D00D5" w:rsidRPr="00EF4D4C" w:rsidRDefault="00FD5823" w:rsidP="00FD5823">
      <w:pPr>
        <w:pStyle w:val="Descripcin"/>
        <w:jc w:val="center"/>
        <w:rPr>
          <w:rFonts w:ascii="Arial" w:hAnsi="Arial" w:cs="Arial"/>
          <w:b/>
          <w:bCs/>
          <w:i w:val="0"/>
          <w:iCs w:val="0"/>
          <w:color w:val="000000" w:themeColor="text1"/>
          <w:sz w:val="24"/>
          <w:szCs w:val="24"/>
        </w:rPr>
      </w:pPr>
      <w:bookmarkStart w:id="5" w:name="_Toc217301473"/>
      <w:r w:rsidRPr="00EF4D4C">
        <w:rPr>
          <w:rFonts w:ascii="Arial" w:hAnsi="Arial" w:cs="Arial"/>
          <w:b/>
          <w:bCs/>
          <w:i w:val="0"/>
          <w:iCs w:val="0"/>
          <w:color w:val="000000" w:themeColor="text1"/>
          <w:sz w:val="24"/>
          <w:szCs w:val="24"/>
        </w:rPr>
        <w:t xml:space="preserve">Tabla </w:t>
      </w:r>
      <w:r w:rsidRPr="00EF4D4C">
        <w:rPr>
          <w:rFonts w:ascii="Arial" w:hAnsi="Arial" w:cs="Arial"/>
          <w:b/>
          <w:bCs/>
          <w:i w:val="0"/>
          <w:iCs w:val="0"/>
          <w:color w:val="000000" w:themeColor="text1"/>
          <w:sz w:val="24"/>
          <w:szCs w:val="24"/>
        </w:rPr>
        <w:fldChar w:fldCharType="begin"/>
      </w:r>
      <w:r w:rsidRPr="00EF4D4C">
        <w:rPr>
          <w:rFonts w:ascii="Arial" w:hAnsi="Arial" w:cs="Arial"/>
          <w:b/>
          <w:bCs/>
          <w:i w:val="0"/>
          <w:iCs w:val="0"/>
          <w:color w:val="000000" w:themeColor="text1"/>
          <w:sz w:val="24"/>
          <w:szCs w:val="24"/>
        </w:rPr>
        <w:instrText xml:space="preserve"> SEQ Tabla \* ARABIC </w:instrText>
      </w:r>
      <w:r w:rsidRPr="00EF4D4C">
        <w:rPr>
          <w:rFonts w:ascii="Arial" w:hAnsi="Arial" w:cs="Arial"/>
          <w:b/>
          <w:bCs/>
          <w:i w:val="0"/>
          <w:iCs w:val="0"/>
          <w:color w:val="000000" w:themeColor="text1"/>
          <w:sz w:val="24"/>
          <w:szCs w:val="24"/>
        </w:rPr>
        <w:fldChar w:fldCharType="separate"/>
      </w:r>
      <w:r w:rsidR="007F5C59" w:rsidRPr="00EF4D4C">
        <w:rPr>
          <w:rFonts w:ascii="Arial" w:hAnsi="Arial" w:cs="Arial"/>
          <w:b/>
          <w:bCs/>
          <w:i w:val="0"/>
          <w:iCs w:val="0"/>
          <w:noProof/>
          <w:color w:val="000000" w:themeColor="text1"/>
          <w:sz w:val="24"/>
          <w:szCs w:val="24"/>
        </w:rPr>
        <w:t>6</w:t>
      </w:r>
      <w:r w:rsidRPr="00EF4D4C">
        <w:rPr>
          <w:rFonts w:ascii="Arial" w:hAnsi="Arial" w:cs="Arial"/>
          <w:b/>
          <w:bCs/>
          <w:i w:val="0"/>
          <w:iCs w:val="0"/>
          <w:color w:val="000000" w:themeColor="text1"/>
          <w:sz w:val="24"/>
          <w:szCs w:val="24"/>
        </w:rPr>
        <w:fldChar w:fldCharType="end"/>
      </w:r>
      <w:r w:rsidRPr="00EF4D4C">
        <w:rPr>
          <w:rFonts w:ascii="Arial" w:hAnsi="Arial" w:cs="Arial"/>
          <w:b/>
          <w:bCs/>
          <w:i w:val="0"/>
          <w:iCs w:val="0"/>
          <w:color w:val="000000" w:themeColor="text1"/>
          <w:sz w:val="24"/>
          <w:szCs w:val="24"/>
        </w:rPr>
        <w:t>.</w:t>
      </w:r>
      <w:r w:rsidR="3F9E1A65" w:rsidRPr="00EF4D4C">
        <w:rPr>
          <w:rFonts w:ascii="Arial" w:hAnsi="Arial" w:cs="Arial"/>
          <w:b/>
          <w:bCs/>
          <w:i w:val="0"/>
          <w:iCs w:val="0"/>
          <w:color w:val="000000" w:themeColor="text1"/>
          <w:sz w:val="24"/>
          <w:szCs w:val="24"/>
        </w:rPr>
        <w:t>Criterios para determinar "</w:t>
      </w:r>
      <w:r w:rsidR="3EBA13BC" w:rsidRPr="00EF4D4C">
        <w:rPr>
          <w:rFonts w:ascii="Arial" w:hAnsi="Arial" w:cs="Arial"/>
          <w:b/>
          <w:bCs/>
          <w:i w:val="0"/>
          <w:iCs w:val="0"/>
          <w:color w:val="000000" w:themeColor="text1"/>
          <w:sz w:val="24"/>
          <w:szCs w:val="24"/>
        </w:rPr>
        <w:t xml:space="preserve">el </w:t>
      </w:r>
      <w:r w:rsidR="1EDCED93" w:rsidRPr="00EF4D4C">
        <w:rPr>
          <w:rFonts w:ascii="Arial" w:hAnsi="Arial" w:cs="Arial"/>
          <w:b/>
          <w:bCs/>
          <w:i w:val="0"/>
          <w:iCs w:val="0"/>
          <w:color w:val="000000" w:themeColor="text1"/>
          <w:sz w:val="24"/>
          <w:szCs w:val="24"/>
        </w:rPr>
        <w:t>carácter</w:t>
      </w:r>
      <w:r w:rsidR="3EBA13BC" w:rsidRPr="00EF4D4C">
        <w:rPr>
          <w:rFonts w:ascii="Arial" w:hAnsi="Arial" w:cs="Arial"/>
          <w:b/>
          <w:bCs/>
          <w:i w:val="0"/>
          <w:iCs w:val="0"/>
          <w:color w:val="000000" w:themeColor="text1"/>
          <w:sz w:val="24"/>
          <w:szCs w:val="24"/>
        </w:rPr>
        <w:t xml:space="preserve"> </w:t>
      </w:r>
      <w:r w:rsidR="3F9E1A65" w:rsidRPr="00EF4D4C">
        <w:rPr>
          <w:rFonts w:ascii="Arial" w:hAnsi="Arial" w:cs="Arial"/>
          <w:b/>
          <w:bCs/>
          <w:i w:val="0"/>
          <w:iCs w:val="0"/>
          <w:color w:val="000000" w:themeColor="text1"/>
          <w:sz w:val="24"/>
          <w:szCs w:val="24"/>
        </w:rPr>
        <w:t>de permanencia</w:t>
      </w:r>
      <w:r w:rsidR="3B3C6923" w:rsidRPr="00EF4D4C">
        <w:rPr>
          <w:rFonts w:ascii="Arial" w:hAnsi="Arial" w:cs="Arial"/>
          <w:b/>
          <w:bCs/>
          <w:i w:val="0"/>
          <w:iCs w:val="0"/>
          <w:color w:val="000000" w:themeColor="text1"/>
          <w:sz w:val="24"/>
          <w:szCs w:val="24"/>
        </w:rPr>
        <w:t xml:space="preserve"> y</w:t>
      </w:r>
      <w:r w:rsidR="77AF1DE7" w:rsidRPr="00EF4D4C">
        <w:rPr>
          <w:rFonts w:ascii="Arial" w:hAnsi="Arial" w:cs="Arial"/>
          <w:b/>
          <w:bCs/>
          <w:i w:val="0"/>
          <w:iCs w:val="0"/>
          <w:color w:val="000000" w:themeColor="text1"/>
          <w:sz w:val="24"/>
          <w:szCs w:val="24"/>
        </w:rPr>
        <w:t xml:space="preserve"> clara e inequívoca vocación de estabilidad</w:t>
      </w:r>
      <w:r w:rsidR="3F9E1A65" w:rsidRPr="00EF4D4C">
        <w:rPr>
          <w:rFonts w:ascii="Arial" w:hAnsi="Arial" w:cs="Arial"/>
          <w:b/>
          <w:bCs/>
          <w:i w:val="0"/>
          <w:iCs w:val="0"/>
          <w:color w:val="000000" w:themeColor="text1"/>
          <w:sz w:val="24"/>
          <w:szCs w:val="24"/>
        </w:rPr>
        <w:t>"</w:t>
      </w:r>
      <w:bookmarkEnd w:id="5"/>
    </w:p>
    <w:tbl>
      <w:tblPr>
        <w:tblStyle w:val="Tablaconcuadrcula"/>
        <w:tblW w:w="8505" w:type="dxa"/>
        <w:tblLook w:val="04A0" w:firstRow="1" w:lastRow="0" w:firstColumn="1" w:lastColumn="0" w:noHBand="0" w:noVBand="1"/>
      </w:tblPr>
      <w:tblGrid>
        <w:gridCol w:w="3828"/>
        <w:gridCol w:w="4677"/>
      </w:tblGrid>
      <w:tr w:rsidR="00584E36" w:rsidRPr="00EF4D4C" w14:paraId="41EA1B86" w14:textId="77777777" w:rsidTr="007A3F75">
        <w:tc>
          <w:tcPr>
            <w:tcW w:w="3828" w:type="dxa"/>
            <w:shd w:val="clear" w:color="auto" w:fill="1F3A5F"/>
            <w:hideMark/>
          </w:tcPr>
          <w:p w14:paraId="1DD38480" w14:textId="77777777" w:rsidR="00584E36" w:rsidRPr="00EF4D4C" w:rsidRDefault="00584E36"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Criterio</w:t>
            </w:r>
          </w:p>
        </w:tc>
        <w:tc>
          <w:tcPr>
            <w:tcW w:w="4677" w:type="dxa"/>
            <w:shd w:val="clear" w:color="auto" w:fill="1F3A5F"/>
            <w:hideMark/>
          </w:tcPr>
          <w:p w14:paraId="568EDE11" w14:textId="77777777" w:rsidR="00584E36" w:rsidRPr="00EF4D4C" w:rsidRDefault="00584E36" w:rsidP="00486CEF">
            <w:pPr>
              <w:spacing w:line="276" w:lineRule="auto"/>
              <w:jc w:val="center"/>
              <w:rPr>
                <w:rFonts w:ascii="Arial" w:eastAsia="Times New Roman" w:hAnsi="Arial" w:cs="Arial"/>
                <w:kern w:val="0"/>
                <w:lang w:eastAsia="es-ES_tradnl"/>
                <w14:ligatures w14:val="none"/>
              </w:rPr>
            </w:pPr>
            <w:r w:rsidRPr="00EF4D4C">
              <w:rPr>
                <w:rFonts w:ascii="Arial" w:eastAsia="Times New Roman" w:hAnsi="Arial" w:cs="Arial"/>
                <w:b/>
                <w:bCs/>
                <w:kern w:val="0"/>
                <w:lang w:eastAsia="es-ES_tradnl"/>
                <w14:ligatures w14:val="none"/>
              </w:rPr>
              <w:t>Indicadores</w:t>
            </w:r>
          </w:p>
        </w:tc>
      </w:tr>
      <w:tr w:rsidR="00584E36" w:rsidRPr="00EF4D4C" w14:paraId="3B2371A7" w14:textId="77777777" w:rsidTr="00F64A22">
        <w:tc>
          <w:tcPr>
            <w:tcW w:w="3828" w:type="dxa"/>
            <w:shd w:val="clear" w:color="auto" w:fill="AEBFD6"/>
            <w:hideMark/>
          </w:tcPr>
          <w:p w14:paraId="4D2ECC5B" w14:textId="77777777" w:rsidR="00584E36" w:rsidRPr="00EF4D4C" w:rsidRDefault="00584E36"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Temporalidad</w:t>
            </w:r>
          </w:p>
        </w:tc>
        <w:tc>
          <w:tcPr>
            <w:tcW w:w="4677" w:type="dxa"/>
            <w:shd w:val="clear" w:color="auto" w:fill="AEBFD6"/>
            <w:hideMark/>
          </w:tcPr>
          <w:p w14:paraId="17628F62" w14:textId="77777777" w:rsidR="00584E36" w:rsidRPr="00EF4D4C" w:rsidRDefault="00584E36"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Relación prolongada en el tiempo</w:t>
            </w:r>
          </w:p>
        </w:tc>
      </w:tr>
      <w:tr w:rsidR="00584E36" w:rsidRPr="00EF4D4C" w14:paraId="394CD49C" w14:textId="77777777" w:rsidTr="00F64A22">
        <w:tc>
          <w:tcPr>
            <w:tcW w:w="3828" w:type="dxa"/>
            <w:shd w:val="clear" w:color="auto" w:fill="AEBFD6"/>
            <w:hideMark/>
          </w:tcPr>
          <w:p w14:paraId="59CBDF58" w14:textId="77777777" w:rsidR="00584E36" w:rsidRPr="00EF4D4C" w:rsidRDefault="00584E36"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Estabilidad</w:t>
            </w:r>
          </w:p>
        </w:tc>
        <w:tc>
          <w:tcPr>
            <w:tcW w:w="4677" w:type="dxa"/>
            <w:shd w:val="clear" w:color="auto" w:fill="AEBFD6"/>
            <w:hideMark/>
          </w:tcPr>
          <w:p w14:paraId="7D441E56" w14:textId="77777777" w:rsidR="00584E36" w:rsidRPr="00EF4D4C" w:rsidRDefault="00584E36"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Reconocimiento mutuo como pareja</w:t>
            </w:r>
          </w:p>
        </w:tc>
      </w:tr>
      <w:tr w:rsidR="00584E36" w:rsidRPr="00EF4D4C" w14:paraId="3E6EE90A" w14:textId="77777777" w:rsidTr="00F64A22">
        <w:tc>
          <w:tcPr>
            <w:tcW w:w="3828" w:type="dxa"/>
            <w:shd w:val="clear" w:color="auto" w:fill="AEBFD6"/>
            <w:hideMark/>
          </w:tcPr>
          <w:p w14:paraId="538538D1" w14:textId="77777777" w:rsidR="00584E36" w:rsidRPr="00EF4D4C" w:rsidRDefault="00584E36"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Proyecto de vida común</w:t>
            </w:r>
          </w:p>
        </w:tc>
        <w:tc>
          <w:tcPr>
            <w:tcW w:w="4677" w:type="dxa"/>
            <w:shd w:val="clear" w:color="auto" w:fill="AEBFD6"/>
            <w:hideMark/>
          </w:tcPr>
          <w:p w14:paraId="38E18317" w14:textId="77777777" w:rsidR="00584E36" w:rsidRPr="00EF4D4C" w:rsidRDefault="00584E36"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Planes conjuntos, integración en entornos sociales</w:t>
            </w:r>
          </w:p>
        </w:tc>
      </w:tr>
      <w:tr w:rsidR="00584E36" w:rsidRPr="00EF4D4C" w14:paraId="4B4D2B64" w14:textId="77777777" w:rsidTr="00F64A22">
        <w:tc>
          <w:tcPr>
            <w:tcW w:w="3828" w:type="dxa"/>
            <w:shd w:val="clear" w:color="auto" w:fill="AEBFD6"/>
            <w:hideMark/>
          </w:tcPr>
          <w:p w14:paraId="3FEEFCC0" w14:textId="77777777" w:rsidR="00584E36" w:rsidRPr="00EF4D4C" w:rsidRDefault="00584E36"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Exclusividad o acuerdo relacional</w:t>
            </w:r>
          </w:p>
        </w:tc>
        <w:tc>
          <w:tcPr>
            <w:tcW w:w="4677" w:type="dxa"/>
            <w:shd w:val="clear" w:color="auto" w:fill="AEBFD6"/>
            <w:hideMark/>
          </w:tcPr>
          <w:p w14:paraId="4E631C9A" w14:textId="77777777" w:rsidR="00584E36" w:rsidRPr="00EF4D4C" w:rsidRDefault="00584E36"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Monogamia o acuerdos no monógamos estables</w:t>
            </w:r>
          </w:p>
        </w:tc>
      </w:tr>
    </w:tbl>
    <w:p w14:paraId="0FC140DF" w14:textId="77777777" w:rsidR="00FD5823" w:rsidRPr="00EF4D4C" w:rsidRDefault="00FD5823" w:rsidP="00FD5823">
      <w:pPr>
        <w:spacing w:line="276" w:lineRule="auto"/>
        <w:jc w:val="center"/>
        <w:rPr>
          <w:rFonts w:ascii="Arial" w:eastAsia="Times New Roman" w:hAnsi="Arial" w:cs="Arial"/>
          <w:b/>
          <w:bCs/>
          <w:color w:val="000000" w:themeColor="text1"/>
          <w:kern w:val="0"/>
          <w:lang w:eastAsia="es-ES_tradnl"/>
          <w14:ligatures w14:val="none"/>
        </w:rPr>
      </w:pPr>
      <w:r w:rsidRPr="00EF4D4C">
        <w:rPr>
          <w:rFonts w:ascii="Arial" w:eastAsia="Times New Roman" w:hAnsi="Arial" w:cs="Arial"/>
          <w:b/>
          <w:bCs/>
          <w:color w:val="000000" w:themeColor="text1"/>
          <w:kern w:val="0"/>
          <w:lang w:eastAsia="es-ES_tradnl"/>
          <w14:ligatures w14:val="none"/>
        </w:rPr>
        <w:t>Elaboración propia, Consorcio Red de Comisarias 2025</w:t>
      </w:r>
    </w:p>
    <w:p w14:paraId="6A86874C" w14:textId="77777777" w:rsidR="00584E36" w:rsidRPr="00EF4D4C" w:rsidRDefault="00584E36" w:rsidP="00486CEF">
      <w:pPr>
        <w:spacing w:line="276" w:lineRule="auto"/>
        <w:rPr>
          <w:rFonts w:ascii="Arial" w:hAnsi="Arial" w:cs="Arial"/>
        </w:rPr>
      </w:pPr>
    </w:p>
    <w:p w14:paraId="460164FF" w14:textId="7E078ED4" w:rsidR="006D00D5" w:rsidRPr="00EF4D4C" w:rsidRDefault="3F9E1A65" w:rsidP="00486CEF">
      <w:pPr>
        <w:spacing w:line="276" w:lineRule="auto"/>
        <w:jc w:val="both"/>
        <w:rPr>
          <w:rFonts w:ascii="Arial" w:hAnsi="Arial" w:cs="Arial"/>
        </w:rPr>
      </w:pPr>
      <w:r w:rsidRPr="00EF4D4C">
        <w:rPr>
          <w:rFonts w:ascii="Arial" w:hAnsi="Arial" w:cs="Arial"/>
          <w:b/>
          <w:bCs/>
        </w:rPr>
        <w:t xml:space="preserve">Regla práctica: </w:t>
      </w:r>
      <w:r w:rsidRPr="00EF4D4C">
        <w:rPr>
          <w:rFonts w:ascii="Arial" w:hAnsi="Arial" w:cs="Arial"/>
        </w:rPr>
        <w:t xml:space="preserve">Si existe una relación afectiva estable en el tiempo, aunque no sea monógama, no haya convivencia o no exista reconocimiento formal, procede la competencia por </w:t>
      </w:r>
      <w:r w:rsidR="5981B696" w:rsidRPr="00EF4D4C">
        <w:rPr>
          <w:rFonts w:ascii="Arial" w:hAnsi="Arial" w:cs="Arial"/>
        </w:rPr>
        <w:t>VCF</w:t>
      </w:r>
      <w:r w:rsidRPr="00EF4D4C">
        <w:rPr>
          <w:rFonts w:ascii="Arial" w:hAnsi="Arial" w:cs="Arial"/>
        </w:rPr>
        <w:t>.</w:t>
      </w:r>
    </w:p>
    <w:p w14:paraId="3E8C642D" w14:textId="77777777" w:rsidR="006D00D5" w:rsidRPr="00EF4D4C" w:rsidRDefault="006D00D5" w:rsidP="00486CEF">
      <w:pPr>
        <w:spacing w:line="276" w:lineRule="auto"/>
        <w:rPr>
          <w:rFonts w:ascii="Arial" w:hAnsi="Arial" w:cs="Arial"/>
        </w:rPr>
      </w:pPr>
    </w:p>
    <w:p w14:paraId="2AEBEE83" w14:textId="77777777" w:rsidR="006D00D5" w:rsidRPr="00EF4D4C" w:rsidRDefault="00584E36" w:rsidP="00486CEF">
      <w:pPr>
        <w:spacing w:line="276" w:lineRule="auto"/>
        <w:rPr>
          <w:rFonts w:ascii="Arial" w:hAnsi="Arial" w:cs="Arial"/>
          <w:b/>
          <w:bCs/>
        </w:rPr>
      </w:pPr>
      <w:r w:rsidRPr="00EF4D4C">
        <w:rPr>
          <w:rFonts w:ascii="Arial" w:hAnsi="Arial" w:cs="Arial"/>
          <w:b/>
          <w:bCs/>
        </w:rPr>
        <w:t>3</w:t>
      </w:r>
      <w:r w:rsidR="006D00D5" w:rsidRPr="00EF4D4C">
        <w:rPr>
          <w:rFonts w:ascii="Arial" w:hAnsi="Arial" w:cs="Arial"/>
          <w:b/>
          <w:bCs/>
        </w:rPr>
        <w:t>. Análisis</w:t>
      </w:r>
      <w:r w:rsidR="00EE3142" w:rsidRPr="00EF4D4C">
        <w:rPr>
          <w:rFonts w:ascii="Arial" w:hAnsi="Arial" w:cs="Arial"/>
          <w:b/>
          <w:bCs/>
        </w:rPr>
        <w:t xml:space="preserve"> </w:t>
      </w:r>
      <w:r w:rsidR="006D00D5" w:rsidRPr="00EF4D4C">
        <w:rPr>
          <w:rFonts w:ascii="Arial" w:hAnsi="Arial" w:cs="Arial"/>
          <w:b/>
          <w:bCs/>
        </w:rPr>
        <w:t>de los parágrafos del artículo 5</w:t>
      </w:r>
    </w:p>
    <w:p w14:paraId="3829DB1A" w14:textId="77777777" w:rsidR="006D00D5" w:rsidRPr="00EF4D4C" w:rsidRDefault="006D00D5" w:rsidP="00486CEF">
      <w:pPr>
        <w:spacing w:line="276" w:lineRule="auto"/>
        <w:rPr>
          <w:rFonts w:ascii="Arial" w:hAnsi="Arial" w:cs="Arial"/>
        </w:rPr>
      </w:pPr>
    </w:p>
    <w:p w14:paraId="38C7412C" w14:textId="77777777" w:rsidR="006D00D5" w:rsidRPr="00EF4D4C" w:rsidRDefault="006D00D5" w:rsidP="00880BFB">
      <w:pPr>
        <w:spacing w:line="276" w:lineRule="auto"/>
        <w:ind w:firstLine="720"/>
        <w:jc w:val="both"/>
        <w:rPr>
          <w:rFonts w:ascii="Arial" w:hAnsi="Arial" w:cs="Arial"/>
          <w:b/>
          <w:bCs/>
        </w:rPr>
      </w:pPr>
      <w:r w:rsidRPr="00EF4D4C">
        <w:rPr>
          <w:rFonts w:ascii="Arial" w:hAnsi="Arial" w:cs="Arial"/>
          <w:b/>
          <w:bCs/>
        </w:rPr>
        <w:t>Parágrafo 1: La competencia concurrente como sistema de reparto funcional</w:t>
      </w:r>
      <w:r w:rsidR="00EE3142" w:rsidRPr="00EF4D4C">
        <w:rPr>
          <w:rFonts w:ascii="Arial" w:hAnsi="Arial" w:cs="Arial"/>
          <w:b/>
          <w:bCs/>
        </w:rPr>
        <w:t xml:space="preserve">: </w:t>
      </w:r>
      <w:r w:rsidRPr="00EF4D4C">
        <w:rPr>
          <w:rFonts w:ascii="Arial" w:hAnsi="Arial" w:cs="Arial"/>
        </w:rPr>
        <w:t>La concurrencia no es una disputa: es una coordinación obligatoria. La comisaría y la defensoría no compiten entre sí; se complementan según el tipo de vulneración.</w:t>
      </w:r>
    </w:p>
    <w:p w14:paraId="4F1C0ED3" w14:textId="77777777" w:rsidR="006D00D5" w:rsidRPr="00EF4D4C" w:rsidRDefault="006D00D5" w:rsidP="00486CEF">
      <w:pPr>
        <w:spacing w:line="276" w:lineRule="auto"/>
        <w:rPr>
          <w:rFonts w:ascii="Arial" w:hAnsi="Arial" w:cs="Arial"/>
        </w:rPr>
      </w:pPr>
    </w:p>
    <w:p w14:paraId="02718654" w14:textId="74266535" w:rsidR="00584E36" w:rsidRPr="00EF4D4C" w:rsidRDefault="00FD5823" w:rsidP="00FD5823">
      <w:pPr>
        <w:pStyle w:val="Descripcin"/>
        <w:jc w:val="center"/>
        <w:rPr>
          <w:rFonts w:ascii="Arial" w:hAnsi="Arial" w:cs="Arial"/>
          <w:b/>
          <w:bCs/>
          <w:sz w:val="24"/>
          <w:szCs w:val="24"/>
        </w:rPr>
      </w:pPr>
      <w:bookmarkStart w:id="6" w:name="_Toc217301474"/>
      <w:r w:rsidRPr="00EF4D4C">
        <w:rPr>
          <w:rFonts w:ascii="Arial" w:hAnsi="Arial" w:cs="Arial"/>
          <w:b/>
          <w:bCs/>
          <w:i w:val="0"/>
          <w:iCs w:val="0"/>
          <w:color w:val="000000" w:themeColor="text1"/>
          <w:sz w:val="24"/>
          <w:szCs w:val="24"/>
        </w:rPr>
        <w:t xml:space="preserve">Tabla </w:t>
      </w:r>
      <w:r w:rsidRPr="00EF4D4C">
        <w:rPr>
          <w:rFonts w:ascii="Arial" w:hAnsi="Arial" w:cs="Arial"/>
          <w:b/>
          <w:bCs/>
          <w:i w:val="0"/>
          <w:iCs w:val="0"/>
          <w:color w:val="000000" w:themeColor="text1"/>
          <w:sz w:val="24"/>
          <w:szCs w:val="24"/>
        </w:rPr>
        <w:fldChar w:fldCharType="begin"/>
      </w:r>
      <w:r w:rsidRPr="00EF4D4C">
        <w:rPr>
          <w:rFonts w:ascii="Arial" w:hAnsi="Arial" w:cs="Arial"/>
          <w:b/>
          <w:bCs/>
          <w:i w:val="0"/>
          <w:iCs w:val="0"/>
          <w:color w:val="000000" w:themeColor="text1"/>
          <w:sz w:val="24"/>
          <w:szCs w:val="24"/>
        </w:rPr>
        <w:instrText xml:space="preserve"> SEQ Tabla \* ARABIC </w:instrText>
      </w:r>
      <w:r w:rsidRPr="00EF4D4C">
        <w:rPr>
          <w:rFonts w:ascii="Arial" w:hAnsi="Arial" w:cs="Arial"/>
          <w:b/>
          <w:bCs/>
          <w:i w:val="0"/>
          <w:iCs w:val="0"/>
          <w:color w:val="000000" w:themeColor="text1"/>
          <w:sz w:val="24"/>
          <w:szCs w:val="24"/>
        </w:rPr>
        <w:fldChar w:fldCharType="separate"/>
      </w:r>
      <w:r w:rsidR="007F5C59" w:rsidRPr="00EF4D4C">
        <w:rPr>
          <w:rFonts w:ascii="Arial" w:hAnsi="Arial" w:cs="Arial"/>
          <w:b/>
          <w:bCs/>
          <w:i w:val="0"/>
          <w:iCs w:val="0"/>
          <w:noProof/>
          <w:color w:val="000000" w:themeColor="text1"/>
          <w:sz w:val="24"/>
          <w:szCs w:val="24"/>
        </w:rPr>
        <w:t>7</w:t>
      </w:r>
      <w:r w:rsidRPr="00EF4D4C">
        <w:rPr>
          <w:rFonts w:ascii="Arial" w:hAnsi="Arial" w:cs="Arial"/>
          <w:b/>
          <w:bCs/>
          <w:i w:val="0"/>
          <w:iCs w:val="0"/>
          <w:color w:val="000000" w:themeColor="text1"/>
          <w:sz w:val="24"/>
          <w:szCs w:val="24"/>
        </w:rPr>
        <w:fldChar w:fldCharType="end"/>
      </w:r>
      <w:r w:rsidRPr="00EF4D4C">
        <w:rPr>
          <w:rFonts w:ascii="Arial" w:hAnsi="Arial" w:cs="Arial"/>
          <w:b/>
          <w:bCs/>
          <w:i w:val="0"/>
          <w:iCs w:val="0"/>
          <w:color w:val="000000" w:themeColor="text1"/>
          <w:sz w:val="24"/>
          <w:szCs w:val="24"/>
        </w:rPr>
        <w:t>.</w:t>
      </w:r>
      <w:r w:rsidR="006D00D5" w:rsidRPr="00EF4D4C">
        <w:rPr>
          <w:rFonts w:ascii="Arial" w:hAnsi="Arial" w:cs="Arial"/>
          <w:b/>
          <w:bCs/>
          <w:i w:val="0"/>
          <w:iCs w:val="0"/>
          <w:color w:val="000000" w:themeColor="text1"/>
          <w:sz w:val="24"/>
          <w:szCs w:val="24"/>
        </w:rPr>
        <w:t>Distribución de competencias concurrentes</w:t>
      </w:r>
      <w:r w:rsidR="00584E36" w:rsidRPr="00EF4D4C">
        <w:rPr>
          <w:rFonts w:ascii="Arial" w:eastAsia="Times New Roman" w:hAnsi="Arial" w:cs="Arial"/>
          <w:color w:val="000000" w:themeColor="text1"/>
          <w:kern w:val="0"/>
          <w:sz w:val="24"/>
          <w:szCs w:val="24"/>
          <w:lang w:eastAsia="es-ES_tradnl"/>
          <w14:ligatures w14:val="none"/>
        </w:rPr>
        <w:br/>
        <w:t>(Según Parágrafo 1, Artículo 5 – Ley 2126 de 2021)</w:t>
      </w:r>
      <w:bookmarkEnd w:id="6"/>
    </w:p>
    <w:tbl>
      <w:tblPr>
        <w:tblStyle w:val="Tablaconcuadrcula"/>
        <w:tblW w:w="0" w:type="auto"/>
        <w:tblLook w:val="04A0" w:firstRow="1" w:lastRow="0" w:firstColumn="1" w:lastColumn="0" w:noHBand="0" w:noVBand="1"/>
      </w:tblPr>
      <w:tblGrid>
        <w:gridCol w:w="1177"/>
        <w:gridCol w:w="2692"/>
        <w:gridCol w:w="1666"/>
        <w:gridCol w:w="2959"/>
      </w:tblGrid>
      <w:tr w:rsidR="00EE3142" w:rsidRPr="00EF4D4C" w14:paraId="47ABE749" w14:textId="77777777" w:rsidTr="007A3F75">
        <w:tc>
          <w:tcPr>
            <w:tcW w:w="0" w:type="auto"/>
            <w:shd w:val="clear" w:color="auto" w:fill="1F3A5F"/>
            <w:hideMark/>
          </w:tcPr>
          <w:p w14:paraId="583AF78A" w14:textId="77777777" w:rsidR="00584E36" w:rsidRPr="00EF4D4C" w:rsidRDefault="00584E36"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Numeral</w:t>
            </w:r>
          </w:p>
        </w:tc>
        <w:tc>
          <w:tcPr>
            <w:tcW w:w="0" w:type="auto"/>
            <w:shd w:val="clear" w:color="auto" w:fill="1F3A5F"/>
            <w:hideMark/>
          </w:tcPr>
          <w:p w14:paraId="69375DB9" w14:textId="77777777" w:rsidR="00584E36" w:rsidRPr="00EF4D4C" w:rsidRDefault="00584E36"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Tipo de Caso</w:t>
            </w:r>
          </w:p>
        </w:tc>
        <w:tc>
          <w:tcPr>
            <w:tcW w:w="0" w:type="auto"/>
            <w:shd w:val="clear" w:color="auto" w:fill="1F3A5F"/>
            <w:hideMark/>
          </w:tcPr>
          <w:p w14:paraId="0C1364F7" w14:textId="77777777" w:rsidR="00584E36" w:rsidRPr="00EF4D4C" w:rsidRDefault="00584E36"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Autoridad Competente</w:t>
            </w:r>
          </w:p>
        </w:tc>
        <w:tc>
          <w:tcPr>
            <w:tcW w:w="0" w:type="auto"/>
            <w:shd w:val="clear" w:color="auto" w:fill="1F3A5F"/>
            <w:hideMark/>
          </w:tcPr>
          <w:p w14:paraId="5F151AA4" w14:textId="77777777" w:rsidR="00584E36" w:rsidRPr="00EF4D4C" w:rsidRDefault="00584E36"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Observaciones y Alcance</w:t>
            </w:r>
          </w:p>
        </w:tc>
      </w:tr>
      <w:tr w:rsidR="00EE3142" w:rsidRPr="00EF4D4C" w14:paraId="2737E73C" w14:textId="77777777" w:rsidTr="00F64A22">
        <w:tc>
          <w:tcPr>
            <w:tcW w:w="0" w:type="auto"/>
            <w:shd w:val="clear" w:color="auto" w:fill="AEBFD6"/>
            <w:hideMark/>
          </w:tcPr>
          <w:p w14:paraId="28D4AFF7" w14:textId="77777777" w:rsidR="00584E36" w:rsidRPr="00EF4D4C" w:rsidRDefault="00584E36"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1</w:t>
            </w:r>
          </w:p>
        </w:tc>
        <w:tc>
          <w:tcPr>
            <w:tcW w:w="0" w:type="auto"/>
            <w:shd w:val="clear" w:color="auto" w:fill="AEBFD6"/>
            <w:hideMark/>
          </w:tcPr>
          <w:p w14:paraId="026F6569" w14:textId="77777777" w:rsidR="00584E36" w:rsidRPr="00EF4D4C" w:rsidRDefault="00584E36"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Niños, niñas y adolescentes (NNA) con vulneraciones o amenazas en contexto de violencia familiar</w:t>
            </w:r>
          </w:p>
        </w:tc>
        <w:tc>
          <w:tcPr>
            <w:tcW w:w="0" w:type="auto"/>
            <w:shd w:val="clear" w:color="auto" w:fill="AEBFD6"/>
            <w:hideMark/>
          </w:tcPr>
          <w:p w14:paraId="069215FC" w14:textId="77777777" w:rsidR="00584E36" w:rsidRPr="00EF4D4C" w:rsidRDefault="00584E36"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Comisaría de Familia</w:t>
            </w:r>
          </w:p>
        </w:tc>
        <w:tc>
          <w:tcPr>
            <w:tcW w:w="0" w:type="auto"/>
            <w:shd w:val="clear" w:color="auto" w:fill="AEBFD6"/>
            <w:hideMark/>
          </w:tcPr>
          <w:p w14:paraId="2D6217CD" w14:textId="77777777" w:rsidR="00584E36" w:rsidRPr="00EF4D4C" w:rsidRDefault="00584E36"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b/>
                <w:bCs/>
                <w:kern w:val="0"/>
                <w:lang w:eastAsia="es-ES_tradnl"/>
                <w14:ligatures w14:val="none"/>
              </w:rPr>
              <w:t>Incluye:</w:t>
            </w:r>
            <w:r w:rsidRPr="00EF4D4C">
              <w:rPr>
                <w:rFonts w:ascii="Arial" w:eastAsia="Times New Roman" w:hAnsi="Arial" w:cs="Arial"/>
                <w:kern w:val="0"/>
                <w:lang w:eastAsia="es-ES_tradnl"/>
                <w14:ligatures w14:val="none"/>
              </w:rPr>
              <w:t xml:space="preserve"> Violencia física, psicológica, económica, patrimonial, negligencia, etc.</w:t>
            </w:r>
            <w:r w:rsidRPr="00EF4D4C">
              <w:rPr>
                <w:rFonts w:ascii="Arial" w:eastAsia="Times New Roman" w:hAnsi="Arial" w:cs="Arial"/>
                <w:kern w:val="0"/>
                <w:lang w:eastAsia="es-ES_tradnl"/>
                <w14:ligatures w14:val="none"/>
              </w:rPr>
              <w:br/>
            </w:r>
            <w:r w:rsidRPr="00EF4D4C">
              <w:rPr>
                <w:rFonts w:ascii="Arial" w:eastAsia="Times New Roman" w:hAnsi="Arial" w:cs="Arial"/>
                <w:b/>
                <w:bCs/>
                <w:kern w:val="0"/>
                <w:lang w:eastAsia="es-ES_tradnl"/>
                <w14:ligatures w14:val="none"/>
              </w:rPr>
              <w:t>Excluye:</w:t>
            </w:r>
            <w:r w:rsidRPr="00EF4D4C">
              <w:rPr>
                <w:rFonts w:ascii="Arial" w:eastAsia="Times New Roman" w:hAnsi="Arial" w:cs="Arial"/>
                <w:kern w:val="0"/>
                <w:lang w:eastAsia="es-ES_tradnl"/>
                <w14:ligatures w14:val="none"/>
              </w:rPr>
              <w:t> cualquier forma de violencia sexual.</w:t>
            </w:r>
          </w:p>
        </w:tc>
      </w:tr>
      <w:tr w:rsidR="00EE3142" w:rsidRPr="00EF4D4C" w14:paraId="2A358F3E" w14:textId="77777777" w:rsidTr="00F64A22">
        <w:tc>
          <w:tcPr>
            <w:tcW w:w="0" w:type="auto"/>
            <w:shd w:val="clear" w:color="auto" w:fill="AEBFD6"/>
            <w:hideMark/>
          </w:tcPr>
          <w:p w14:paraId="26AEB63D" w14:textId="77777777" w:rsidR="00584E36" w:rsidRPr="00EF4D4C" w:rsidRDefault="00584E36"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2</w:t>
            </w:r>
          </w:p>
        </w:tc>
        <w:tc>
          <w:tcPr>
            <w:tcW w:w="0" w:type="auto"/>
            <w:shd w:val="clear" w:color="auto" w:fill="AEBFD6"/>
            <w:hideMark/>
          </w:tcPr>
          <w:p w14:paraId="1791FE4B" w14:textId="77777777" w:rsidR="00584E36" w:rsidRPr="00EF4D4C" w:rsidRDefault="00584E36"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NNA con vulneraciones o amenazas de derechos </w:t>
            </w:r>
            <w:r w:rsidRPr="00EF4D4C">
              <w:rPr>
                <w:rFonts w:ascii="Arial" w:eastAsia="Times New Roman" w:hAnsi="Arial" w:cs="Arial"/>
                <w:i/>
                <w:iCs/>
                <w:kern w:val="0"/>
                <w:lang w:eastAsia="es-ES_tradnl"/>
                <w14:ligatures w14:val="none"/>
              </w:rPr>
              <w:t>fuera</w:t>
            </w:r>
            <w:r w:rsidRPr="00EF4D4C">
              <w:rPr>
                <w:rFonts w:ascii="Arial" w:eastAsia="Times New Roman" w:hAnsi="Arial" w:cs="Arial"/>
                <w:kern w:val="0"/>
                <w:lang w:eastAsia="es-ES_tradnl"/>
                <w14:ligatures w14:val="none"/>
              </w:rPr>
              <w:t> del contexto de violencia familiar</w:t>
            </w:r>
          </w:p>
        </w:tc>
        <w:tc>
          <w:tcPr>
            <w:tcW w:w="0" w:type="auto"/>
            <w:shd w:val="clear" w:color="auto" w:fill="AEBFD6"/>
            <w:hideMark/>
          </w:tcPr>
          <w:p w14:paraId="56D540F3" w14:textId="77777777" w:rsidR="00584E36" w:rsidRPr="00EF4D4C" w:rsidRDefault="00584E36"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Defensoría de Familia</w:t>
            </w:r>
          </w:p>
        </w:tc>
        <w:tc>
          <w:tcPr>
            <w:tcW w:w="0" w:type="auto"/>
            <w:shd w:val="clear" w:color="auto" w:fill="AEBFD6"/>
            <w:hideMark/>
          </w:tcPr>
          <w:p w14:paraId="4E29873A" w14:textId="017DD1D4" w:rsidR="00584E36" w:rsidRPr="00EF4D4C" w:rsidRDefault="73983A94" w:rsidP="00486CEF">
            <w:pPr>
              <w:spacing w:line="276" w:lineRule="auto"/>
              <w:jc w:val="both"/>
              <w:rPr>
                <w:rFonts w:ascii="Arial" w:eastAsia="Times New Roman" w:hAnsi="Arial" w:cs="Arial"/>
                <w:kern w:val="0"/>
                <w:lang w:eastAsia="es-ES"/>
                <w14:ligatures w14:val="none"/>
              </w:rPr>
            </w:pPr>
            <w:r w:rsidRPr="00EF4D4C">
              <w:rPr>
                <w:rFonts w:ascii="Arial" w:eastAsia="Times New Roman" w:hAnsi="Arial" w:cs="Arial"/>
                <w:b/>
                <w:bCs/>
                <w:kern w:val="0"/>
                <w:lang w:eastAsia="es-ES"/>
                <w14:ligatures w14:val="none"/>
              </w:rPr>
              <w:t>Ejemplos</w:t>
            </w:r>
            <w:r w:rsidRPr="00EF4D4C">
              <w:rPr>
                <w:rFonts w:ascii="Arial" w:eastAsia="Times New Roman" w:hAnsi="Arial" w:cs="Arial"/>
                <w:kern w:val="0"/>
                <w:lang w:eastAsia="es-ES"/>
                <w14:ligatures w14:val="none"/>
              </w:rPr>
              <w:t>: trabajo infantil, explotación económica</w:t>
            </w:r>
            <w:r w:rsidRPr="00EF4D4C">
              <w:rPr>
                <w:rFonts w:ascii="Arial" w:eastAsia="Times New Roman" w:hAnsi="Arial" w:cs="Arial"/>
                <w:lang w:eastAsia="es-ES"/>
              </w:rPr>
              <w:t xml:space="preserve">, </w:t>
            </w:r>
            <w:r w:rsidR="5D793B34" w:rsidRPr="00EF4D4C">
              <w:rPr>
                <w:rFonts w:ascii="Arial" w:eastAsia="Times New Roman" w:hAnsi="Arial" w:cs="Arial"/>
                <w:lang w:eastAsia="es-ES"/>
              </w:rPr>
              <w:t>alta permanencia</w:t>
            </w:r>
            <w:r w:rsidRPr="00EF4D4C">
              <w:rPr>
                <w:rFonts w:ascii="Arial" w:eastAsia="Times New Roman" w:hAnsi="Arial" w:cs="Arial"/>
                <w:lang w:eastAsia="es-ES"/>
              </w:rPr>
              <w:t xml:space="preserve"> </w:t>
            </w:r>
            <w:r w:rsidR="5D793B34" w:rsidRPr="00EF4D4C">
              <w:rPr>
                <w:rFonts w:ascii="Arial" w:eastAsia="Times New Roman" w:hAnsi="Arial" w:cs="Arial"/>
                <w:lang w:eastAsia="es-ES"/>
              </w:rPr>
              <w:t>en</w:t>
            </w:r>
            <w:r w:rsidRPr="00EF4D4C">
              <w:rPr>
                <w:rFonts w:ascii="Arial" w:eastAsia="Times New Roman" w:hAnsi="Arial" w:cs="Arial"/>
                <w:lang w:eastAsia="es-ES"/>
              </w:rPr>
              <w:t xml:space="preserve"> calle, entre otras no enmarcadas como </w:t>
            </w:r>
            <w:r w:rsidR="5981B696" w:rsidRPr="00EF4D4C">
              <w:rPr>
                <w:rFonts w:ascii="Arial" w:eastAsia="Times New Roman" w:hAnsi="Arial" w:cs="Arial"/>
                <w:lang w:eastAsia="es-ES"/>
              </w:rPr>
              <w:t>VCF</w:t>
            </w:r>
            <w:r w:rsidRPr="00EF4D4C">
              <w:rPr>
                <w:rFonts w:ascii="Arial" w:eastAsia="Times New Roman" w:hAnsi="Arial" w:cs="Arial"/>
                <w:lang w:eastAsia="es-ES"/>
              </w:rPr>
              <w:t>.</w:t>
            </w:r>
          </w:p>
        </w:tc>
      </w:tr>
      <w:tr w:rsidR="00EE3142" w:rsidRPr="00EF4D4C" w14:paraId="2CDF970A" w14:textId="77777777" w:rsidTr="00F64A22">
        <w:tc>
          <w:tcPr>
            <w:tcW w:w="0" w:type="auto"/>
            <w:shd w:val="clear" w:color="auto" w:fill="AEBFD6"/>
            <w:hideMark/>
          </w:tcPr>
          <w:p w14:paraId="63C508D3" w14:textId="77777777" w:rsidR="00584E36" w:rsidRPr="00EF4D4C" w:rsidRDefault="00584E36"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lastRenderedPageBreak/>
              <w:t>3</w:t>
            </w:r>
          </w:p>
        </w:tc>
        <w:tc>
          <w:tcPr>
            <w:tcW w:w="0" w:type="auto"/>
            <w:shd w:val="clear" w:color="auto" w:fill="AEBFD6"/>
            <w:hideMark/>
          </w:tcPr>
          <w:p w14:paraId="18F0758D" w14:textId="77777777" w:rsidR="00584E36" w:rsidRPr="00EF4D4C" w:rsidRDefault="00584E36"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Cualquier forma de violencia sexual contra NNA</w:t>
            </w:r>
          </w:p>
        </w:tc>
        <w:tc>
          <w:tcPr>
            <w:tcW w:w="0" w:type="auto"/>
            <w:shd w:val="clear" w:color="auto" w:fill="AEBFD6"/>
            <w:hideMark/>
          </w:tcPr>
          <w:p w14:paraId="5BDA4F1A" w14:textId="77777777" w:rsidR="00584E36" w:rsidRPr="00EF4D4C" w:rsidRDefault="00584E36"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Defensoría de Familia</w:t>
            </w:r>
          </w:p>
        </w:tc>
        <w:tc>
          <w:tcPr>
            <w:tcW w:w="0" w:type="auto"/>
            <w:shd w:val="clear" w:color="auto" w:fill="AEBFD6"/>
            <w:hideMark/>
          </w:tcPr>
          <w:p w14:paraId="61199114" w14:textId="77777777" w:rsidR="00584E36" w:rsidRPr="00EF4D4C" w:rsidRDefault="00584E36"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b/>
                <w:bCs/>
                <w:kern w:val="0"/>
                <w:lang w:eastAsia="es-ES_tradnl"/>
                <w14:ligatures w14:val="none"/>
              </w:rPr>
              <w:t>Competencia exclusiva:</w:t>
            </w:r>
            <w:r w:rsidRPr="00EF4D4C">
              <w:rPr>
                <w:rFonts w:ascii="Arial" w:eastAsia="Times New Roman" w:hAnsi="Arial" w:cs="Arial"/>
                <w:kern w:val="0"/>
                <w:lang w:eastAsia="es-ES_tradnl"/>
                <w14:ligatures w14:val="none"/>
              </w:rPr>
              <w:t xml:space="preserve"> sin importar el contexto o el agresor.</w:t>
            </w:r>
            <w:r w:rsidRPr="00EF4D4C">
              <w:rPr>
                <w:rFonts w:ascii="Arial" w:eastAsia="Times New Roman" w:hAnsi="Arial" w:cs="Arial"/>
                <w:kern w:val="0"/>
                <w:lang w:eastAsia="es-ES_tradnl"/>
                <w14:ligatures w14:val="none"/>
              </w:rPr>
              <w:br/>
            </w:r>
            <w:r w:rsidR="00EE3142" w:rsidRPr="00EF4D4C">
              <w:rPr>
                <w:rFonts w:ascii="Arial" w:eastAsia="Times New Roman" w:hAnsi="Arial" w:cs="Arial"/>
                <w:b/>
                <w:bCs/>
                <w:kern w:val="0"/>
                <w:lang w:eastAsia="es-ES_tradnl"/>
                <w14:ligatures w14:val="none"/>
              </w:rPr>
              <w:t xml:space="preserve">Importante: </w:t>
            </w:r>
            <w:r w:rsidRPr="00EF4D4C">
              <w:rPr>
                <w:rFonts w:ascii="Arial" w:eastAsia="Times New Roman" w:hAnsi="Arial" w:cs="Arial"/>
                <w:kern w:val="0"/>
                <w:lang w:eastAsia="es-ES_tradnl"/>
                <w14:ligatures w14:val="none"/>
              </w:rPr>
              <w:t>Si en el mismo núcleo familiar hay otros NNA víctimas de violencias </w:t>
            </w:r>
            <w:r w:rsidRPr="00EF4D4C">
              <w:rPr>
                <w:rFonts w:ascii="Arial" w:eastAsia="Times New Roman" w:hAnsi="Arial" w:cs="Arial"/>
                <w:i/>
                <w:iCs/>
                <w:kern w:val="0"/>
                <w:lang w:eastAsia="es-ES_tradnl"/>
                <w14:ligatures w14:val="none"/>
              </w:rPr>
              <w:t>no sexuales</w:t>
            </w:r>
            <w:r w:rsidRPr="00EF4D4C">
              <w:rPr>
                <w:rFonts w:ascii="Arial" w:eastAsia="Times New Roman" w:hAnsi="Arial" w:cs="Arial"/>
                <w:kern w:val="0"/>
                <w:lang w:eastAsia="es-ES_tradnl"/>
                <w14:ligatures w14:val="none"/>
              </w:rPr>
              <w:t>, la Defensoría asume competencia sobre todos ellos.</w:t>
            </w:r>
          </w:p>
        </w:tc>
      </w:tr>
      <w:tr w:rsidR="00EE3142" w:rsidRPr="00EF4D4C" w14:paraId="7A6800DA" w14:textId="77777777" w:rsidTr="00F64A22">
        <w:tc>
          <w:tcPr>
            <w:tcW w:w="0" w:type="auto"/>
            <w:shd w:val="clear" w:color="auto" w:fill="AEBFD6"/>
            <w:hideMark/>
          </w:tcPr>
          <w:p w14:paraId="18B22E41" w14:textId="77777777" w:rsidR="00584E36" w:rsidRPr="00EF4D4C" w:rsidRDefault="00584E36"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4</w:t>
            </w:r>
          </w:p>
        </w:tc>
        <w:tc>
          <w:tcPr>
            <w:tcW w:w="0" w:type="auto"/>
            <w:shd w:val="clear" w:color="auto" w:fill="AEBFD6"/>
            <w:hideMark/>
          </w:tcPr>
          <w:p w14:paraId="06A5425E" w14:textId="77777777" w:rsidR="00584E36" w:rsidRPr="00EF4D4C" w:rsidRDefault="00584E36"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Violencia sexual contra NNA </w:t>
            </w:r>
            <w:r w:rsidRPr="00EF4D4C">
              <w:rPr>
                <w:rFonts w:ascii="Arial" w:eastAsia="Times New Roman" w:hAnsi="Arial" w:cs="Arial"/>
                <w:i/>
                <w:iCs/>
                <w:kern w:val="0"/>
                <w:lang w:eastAsia="es-ES_tradnl"/>
                <w14:ligatures w14:val="none"/>
              </w:rPr>
              <w:t>más</w:t>
            </w:r>
            <w:r w:rsidRPr="00EF4D4C">
              <w:rPr>
                <w:rFonts w:ascii="Arial" w:eastAsia="Times New Roman" w:hAnsi="Arial" w:cs="Arial"/>
                <w:kern w:val="0"/>
                <w:lang w:eastAsia="es-ES_tradnl"/>
                <w14:ligatures w14:val="none"/>
              </w:rPr>
              <w:t> violencia contra integrantes adultos del núcleo familiar</w:t>
            </w:r>
          </w:p>
        </w:tc>
        <w:tc>
          <w:tcPr>
            <w:tcW w:w="0" w:type="auto"/>
            <w:shd w:val="clear" w:color="auto" w:fill="AEBFD6"/>
            <w:hideMark/>
          </w:tcPr>
          <w:p w14:paraId="0CEFBFF5" w14:textId="77777777" w:rsidR="00584E36" w:rsidRPr="00EF4D4C" w:rsidRDefault="00584E36"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Comisaría de Familia</w:t>
            </w:r>
          </w:p>
        </w:tc>
        <w:tc>
          <w:tcPr>
            <w:tcW w:w="0" w:type="auto"/>
            <w:shd w:val="clear" w:color="auto" w:fill="AEBFD6"/>
            <w:hideMark/>
          </w:tcPr>
          <w:p w14:paraId="64A3C922" w14:textId="77777777" w:rsidR="00584E36" w:rsidRPr="00EF4D4C" w:rsidRDefault="00584E36"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La Comisaría asume competencia sobre todo el grupo familiar.</w:t>
            </w:r>
          </w:p>
        </w:tc>
      </w:tr>
    </w:tbl>
    <w:p w14:paraId="02F5B3CB" w14:textId="77777777" w:rsidR="00584E36" w:rsidRPr="00EF4D4C" w:rsidRDefault="00584E36" w:rsidP="00486CEF">
      <w:pPr>
        <w:spacing w:line="276" w:lineRule="auto"/>
        <w:jc w:val="both"/>
        <w:rPr>
          <w:rFonts w:ascii="Arial" w:hAnsi="Arial" w:cs="Arial"/>
        </w:rPr>
      </w:pPr>
    </w:p>
    <w:p w14:paraId="733CB326" w14:textId="427DF8FD" w:rsidR="006D00D5" w:rsidRPr="00EF4D4C" w:rsidRDefault="3F9E1A65" w:rsidP="00486CEF">
      <w:pPr>
        <w:spacing w:line="276" w:lineRule="auto"/>
        <w:jc w:val="both"/>
        <w:rPr>
          <w:rFonts w:ascii="Arial" w:hAnsi="Arial" w:cs="Arial"/>
        </w:rPr>
      </w:pPr>
      <w:r w:rsidRPr="00EF4D4C">
        <w:rPr>
          <w:rFonts w:ascii="Arial" w:hAnsi="Arial" w:cs="Arial"/>
          <w:b/>
          <w:bCs/>
        </w:rPr>
        <w:t xml:space="preserve">Parágrafo 2: La corresponsabilidad y </w:t>
      </w:r>
      <w:r w:rsidR="7A6D5762" w:rsidRPr="00EF4D4C">
        <w:rPr>
          <w:rFonts w:ascii="Arial" w:hAnsi="Arial" w:cs="Arial"/>
          <w:b/>
          <w:bCs/>
        </w:rPr>
        <w:t>d</w:t>
      </w:r>
      <w:r w:rsidRPr="00EF4D4C">
        <w:rPr>
          <w:rFonts w:ascii="Arial" w:hAnsi="Arial" w:cs="Arial"/>
          <w:b/>
          <w:bCs/>
        </w:rPr>
        <w:t xml:space="preserve">el </w:t>
      </w:r>
      <w:r w:rsidR="648050BD" w:rsidRPr="00EF4D4C">
        <w:rPr>
          <w:rFonts w:ascii="Arial" w:hAnsi="Arial" w:cs="Arial"/>
          <w:b/>
          <w:bCs/>
        </w:rPr>
        <w:t xml:space="preserve">interés superior de NNA </w:t>
      </w:r>
    </w:p>
    <w:p w14:paraId="22BE0F4B" w14:textId="6F20695E" w:rsidR="006D00D5" w:rsidRPr="00EF4D4C" w:rsidRDefault="006D00D5" w:rsidP="00486CEF">
      <w:pPr>
        <w:spacing w:line="276" w:lineRule="auto"/>
        <w:jc w:val="both"/>
        <w:rPr>
          <w:rFonts w:ascii="Arial" w:hAnsi="Arial" w:cs="Arial"/>
          <w:b/>
          <w:bCs/>
        </w:rPr>
      </w:pPr>
    </w:p>
    <w:p w14:paraId="033C6703" w14:textId="5DBD6A91" w:rsidR="00DE43BC" w:rsidRPr="00EF4D4C" w:rsidRDefault="3F9E1A65" w:rsidP="00880BFB">
      <w:pPr>
        <w:spacing w:line="276" w:lineRule="auto"/>
        <w:ind w:firstLine="720"/>
        <w:jc w:val="both"/>
        <w:rPr>
          <w:rFonts w:ascii="Arial" w:hAnsi="Arial" w:cs="Arial"/>
        </w:rPr>
      </w:pPr>
      <w:r w:rsidRPr="00EF4D4C">
        <w:rPr>
          <w:rFonts w:ascii="Arial" w:hAnsi="Arial" w:cs="Arial"/>
        </w:rPr>
        <w:t>Este parágrafo establece uno de los mandatos más exigentes de la ley: cuando un despacho conoce un caso que no es de su competencia, debe actuar de inmediato para proteger a la víctima y luego remitir el caso a la autoridad competente dentro de los siguientes tres días hábiles.</w:t>
      </w:r>
    </w:p>
    <w:p w14:paraId="7A2F7A71" w14:textId="77777777" w:rsidR="00DE43BC" w:rsidRPr="00EF4D4C" w:rsidRDefault="00DE43BC" w:rsidP="00486CEF">
      <w:pPr>
        <w:spacing w:line="276" w:lineRule="auto"/>
        <w:rPr>
          <w:rFonts w:ascii="Arial" w:hAnsi="Arial" w:cs="Arial"/>
        </w:rPr>
      </w:pPr>
    </w:p>
    <w:p w14:paraId="6581D21F" w14:textId="1622D693" w:rsidR="00DE43BC" w:rsidRPr="00EF4D4C" w:rsidRDefault="00B75FF5" w:rsidP="00486CEF">
      <w:pPr>
        <w:spacing w:line="276" w:lineRule="auto"/>
        <w:rPr>
          <w:rFonts w:ascii="Arial" w:hAnsi="Arial" w:cs="Arial"/>
        </w:rPr>
      </w:pPr>
      <w:r w:rsidRPr="00EF4D4C">
        <w:rPr>
          <w:rFonts w:ascii="Arial" w:hAnsi="Arial" w:cs="Arial"/>
          <w:noProof/>
        </w:rPr>
        <w:lastRenderedPageBreak/>
        <w:drawing>
          <wp:inline distT="0" distB="0" distL="0" distR="0" wp14:anchorId="6B6DCBCD" wp14:editId="518E7EB9">
            <wp:extent cx="5093369" cy="6192940"/>
            <wp:effectExtent l="0" t="0" r="0" b="0"/>
            <wp:docPr id="1048047615"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7">
                      <a:extLst>
                        <a:ext uri="{28A0092B-C50C-407E-A947-70E740481C1C}">
                          <a14:useLocalDpi xmlns:a14="http://schemas.microsoft.com/office/drawing/2010/main" val="0"/>
                        </a:ext>
                      </a:extLst>
                    </a:blip>
                    <a:srcRect b="18901"/>
                    <a:stretch>
                      <a:fillRect/>
                    </a:stretch>
                  </pic:blipFill>
                  <pic:spPr bwMode="auto">
                    <a:xfrm>
                      <a:off x="0" y="0"/>
                      <a:ext cx="5122982" cy="6228946"/>
                    </a:xfrm>
                    <a:prstGeom prst="rect">
                      <a:avLst/>
                    </a:prstGeom>
                    <a:noFill/>
                    <a:ln>
                      <a:noFill/>
                    </a:ln>
                    <a:extLst>
                      <a:ext uri="{53640926-AAD7-44D8-BBD7-CCE9431645EC}">
                        <a14:shadowObscured xmlns:a14="http://schemas.microsoft.com/office/drawing/2010/main"/>
                      </a:ext>
                    </a:extLst>
                  </pic:spPr>
                </pic:pic>
              </a:graphicData>
            </a:graphic>
          </wp:inline>
        </w:drawing>
      </w:r>
    </w:p>
    <w:p w14:paraId="2B9608C0" w14:textId="77777777" w:rsidR="006D00D5" w:rsidRPr="00EF4D4C" w:rsidRDefault="006D00D5" w:rsidP="00486CEF">
      <w:pPr>
        <w:spacing w:line="276" w:lineRule="auto"/>
        <w:rPr>
          <w:rFonts w:ascii="Arial" w:hAnsi="Arial" w:cs="Arial"/>
        </w:rPr>
      </w:pPr>
    </w:p>
    <w:p w14:paraId="35DA71C9" w14:textId="056219F0" w:rsidR="006D00D5" w:rsidRPr="00EF4D4C" w:rsidRDefault="3F9E1A65" w:rsidP="00486CEF">
      <w:pPr>
        <w:spacing w:line="276" w:lineRule="auto"/>
        <w:rPr>
          <w:rFonts w:ascii="Arial" w:hAnsi="Arial" w:cs="Arial"/>
        </w:rPr>
      </w:pPr>
      <w:r w:rsidRPr="00EF4D4C">
        <w:rPr>
          <w:rFonts w:ascii="Arial" w:hAnsi="Arial" w:cs="Arial"/>
          <w:b/>
          <w:bCs/>
        </w:rPr>
        <w:t>Parágrafo 3:  factor subsidiario</w:t>
      </w:r>
    </w:p>
    <w:p w14:paraId="0560F681" w14:textId="0B219F9B" w:rsidR="5368BBF5" w:rsidRPr="00EF4D4C" w:rsidRDefault="5368BBF5" w:rsidP="00486CEF">
      <w:pPr>
        <w:spacing w:line="276" w:lineRule="auto"/>
        <w:rPr>
          <w:rFonts w:ascii="Arial" w:hAnsi="Arial" w:cs="Arial"/>
          <w:b/>
          <w:bCs/>
        </w:rPr>
      </w:pPr>
    </w:p>
    <w:p w14:paraId="46B53343" w14:textId="0C722B2C" w:rsidR="55422ADB" w:rsidRPr="00EF4D4C" w:rsidRDefault="55422ADB" w:rsidP="00486CEF">
      <w:pPr>
        <w:spacing w:line="276" w:lineRule="auto"/>
        <w:rPr>
          <w:rFonts w:ascii="Arial" w:eastAsia="Century Gothic" w:hAnsi="Arial" w:cs="Arial"/>
        </w:rPr>
      </w:pPr>
      <w:r w:rsidRPr="00EF4D4C">
        <w:rPr>
          <w:rFonts w:ascii="Arial" w:eastAsia="Century Gothic" w:hAnsi="Arial" w:cs="Arial"/>
        </w:rPr>
        <w:t>La Comisaría podrá asumir funciones del Defensor de Familia solo cuando no exista uno designado por el ICBF en el municipio, conforme al artículo 98 del Código de Infancia y Adolescencia. Es una competencia subsidiaria excepcional para garantizar protección sin vacíos institucionales.</w:t>
      </w:r>
    </w:p>
    <w:p w14:paraId="3315AE8C" w14:textId="77777777" w:rsidR="006D00D5" w:rsidRPr="00EF4D4C" w:rsidRDefault="006D00D5" w:rsidP="00486CEF">
      <w:pPr>
        <w:spacing w:line="276" w:lineRule="auto"/>
        <w:rPr>
          <w:rFonts w:ascii="Arial" w:hAnsi="Arial" w:cs="Arial"/>
        </w:rPr>
      </w:pPr>
    </w:p>
    <w:p w14:paraId="5590F679" w14:textId="66B5593E" w:rsidR="009E1B6D" w:rsidRPr="00EF4D4C" w:rsidRDefault="00FE0E54" w:rsidP="00BF2C2F">
      <w:pPr>
        <w:spacing w:line="276" w:lineRule="auto"/>
        <w:jc w:val="center"/>
        <w:rPr>
          <w:rFonts w:ascii="Arial" w:hAnsi="Arial" w:cs="Arial"/>
          <w:b/>
          <w:bCs/>
        </w:rPr>
      </w:pPr>
      <w:r w:rsidRPr="00EF4D4C">
        <w:rPr>
          <w:rFonts w:ascii="Arial" w:hAnsi="Arial" w:cs="Arial"/>
          <w:b/>
          <w:bCs/>
          <w:noProof/>
        </w:rPr>
        <w:lastRenderedPageBreak/>
        <w:drawing>
          <wp:inline distT="0" distB="0" distL="0" distR="0" wp14:anchorId="71808241" wp14:editId="1961EDC1">
            <wp:extent cx="4259179" cy="2639123"/>
            <wp:effectExtent l="0" t="0" r="8255" b="8890"/>
            <wp:docPr id="1797616999"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8">
                      <a:extLst>
                        <a:ext uri="{28A0092B-C50C-407E-A947-70E740481C1C}">
                          <a14:useLocalDpi xmlns:a14="http://schemas.microsoft.com/office/drawing/2010/main" val="0"/>
                        </a:ext>
                      </a:extLst>
                    </a:blip>
                    <a:srcRect l="-1" t="8243" r="1489" b="8396"/>
                    <a:stretch>
                      <a:fillRect/>
                    </a:stretch>
                  </pic:blipFill>
                  <pic:spPr bwMode="auto">
                    <a:xfrm>
                      <a:off x="0" y="0"/>
                      <a:ext cx="4286479" cy="2656039"/>
                    </a:xfrm>
                    <a:prstGeom prst="rect">
                      <a:avLst/>
                    </a:prstGeom>
                    <a:noFill/>
                    <a:ln>
                      <a:noFill/>
                    </a:ln>
                    <a:extLst>
                      <a:ext uri="{53640926-AAD7-44D8-BBD7-CCE9431645EC}">
                        <a14:shadowObscured xmlns:a14="http://schemas.microsoft.com/office/drawing/2010/main"/>
                      </a:ext>
                    </a:extLst>
                  </pic:spPr>
                </pic:pic>
              </a:graphicData>
            </a:graphic>
          </wp:inline>
        </w:drawing>
      </w:r>
    </w:p>
    <w:p w14:paraId="1B37C310" w14:textId="77777777" w:rsidR="006D00D5" w:rsidRPr="00EF4D4C" w:rsidRDefault="006D00D5" w:rsidP="00486CEF">
      <w:pPr>
        <w:spacing w:line="276" w:lineRule="auto"/>
        <w:rPr>
          <w:rFonts w:ascii="Arial" w:hAnsi="Arial" w:cs="Arial"/>
          <w:b/>
          <w:bCs/>
        </w:rPr>
      </w:pPr>
      <w:r w:rsidRPr="00EF4D4C">
        <w:rPr>
          <w:rFonts w:ascii="Arial" w:hAnsi="Arial" w:cs="Arial"/>
          <w:b/>
          <w:bCs/>
        </w:rPr>
        <w:t>Parágrafo 4: Responsabilidad disciplinaria por obstaculización</w:t>
      </w:r>
    </w:p>
    <w:p w14:paraId="45430FFC" w14:textId="77777777" w:rsidR="006D00D5" w:rsidRPr="00EF4D4C" w:rsidRDefault="006D00D5" w:rsidP="00486CEF">
      <w:pPr>
        <w:spacing w:line="276" w:lineRule="auto"/>
        <w:rPr>
          <w:rFonts w:ascii="Arial" w:hAnsi="Arial" w:cs="Arial"/>
        </w:rPr>
      </w:pPr>
    </w:p>
    <w:p w14:paraId="06272DB0" w14:textId="45A2F8D7" w:rsidR="002E4C12" w:rsidRPr="00EF4D4C" w:rsidRDefault="006D00D5" w:rsidP="00BF2C2F">
      <w:pPr>
        <w:spacing w:line="276" w:lineRule="auto"/>
        <w:jc w:val="both"/>
        <w:rPr>
          <w:rFonts w:ascii="Arial" w:hAnsi="Arial" w:cs="Arial"/>
        </w:rPr>
      </w:pPr>
      <w:r w:rsidRPr="00EF4D4C">
        <w:rPr>
          <w:rFonts w:ascii="Arial" w:hAnsi="Arial" w:cs="Arial"/>
        </w:rPr>
        <w:t>Esta disposición es un recordatorio contundente de que la atención en comisarías y defensorías no es solo técnica: es un servicio público esencial.</w:t>
      </w:r>
    </w:p>
    <w:p w14:paraId="3FB4A7DA" w14:textId="15FFA889" w:rsidR="006D00D5" w:rsidRPr="00EF4D4C" w:rsidRDefault="002E4C12" w:rsidP="00486CEF">
      <w:pPr>
        <w:spacing w:line="276" w:lineRule="auto"/>
        <w:jc w:val="center"/>
        <w:rPr>
          <w:rFonts w:ascii="Arial" w:hAnsi="Arial" w:cs="Arial"/>
        </w:rPr>
      </w:pPr>
      <w:r w:rsidRPr="00EF4D4C">
        <w:rPr>
          <w:rFonts w:ascii="Arial" w:hAnsi="Arial" w:cs="Arial"/>
          <w:noProof/>
        </w:rPr>
        <w:drawing>
          <wp:inline distT="0" distB="0" distL="0" distR="0" wp14:anchorId="7B5F6D56" wp14:editId="015916D4">
            <wp:extent cx="5259832" cy="3056021"/>
            <wp:effectExtent l="0" t="0" r="0" b="0"/>
            <wp:docPr id="46373367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3200" b="9690"/>
                    <a:stretch>
                      <a:fillRect/>
                    </a:stretch>
                  </pic:blipFill>
                  <pic:spPr bwMode="auto">
                    <a:xfrm>
                      <a:off x="0" y="0"/>
                      <a:ext cx="5286852" cy="3071720"/>
                    </a:xfrm>
                    <a:prstGeom prst="rect">
                      <a:avLst/>
                    </a:prstGeom>
                    <a:noFill/>
                    <a:ln>
                      <a:noFill/>
                    </a:ln>
                    <a:extLst>
                      <a:ext uri="{53640926-AAD7-44D8-BBD7-CCE9431645EC}">
                        <a14:shadowObscured xmlns:a14="http://schemas.microsoft.com/office/drawing/2010/main"/>
                      </a:ext>
                    </a:extLst>
                  </pic:spPr>
                </pic:pic>
              </a:graphicData>
            </a:graphic>
          </wp:inline>
        </w:drawing>
      </w:r>
    </w:p>
    <w:p w14:paraId="10983304" w14:textId="77777777" w:rsidR="006D00D5" w:rsidRPr="00EF4D4C" w:rsidRDefault="00EE3142" w:rsidP="00486CEF">
      <w:pPr>
        <w:spacing w:line="276" w:lineRule="auto"/>
        <w:rPr>
          <w:rFonts w:ascii="Arial" w:hAnsi="Arial" w:cs="Arial"/>
          <w:b/>
          <w:bCs/>
        </w:rPr>
      </w:pPr>
      <w:r w:rsidRPr="00EF4D4C">
        <w:rPr>
          <w:rFonts w:ascii="Arial" w:hAnsi="Arial" w:cs="Arial"/>
          <w:b/>
          <w:bCs/>
        </w:rPr>
        <w:t>4</w:t>
      </w:r>
      <w:r w:rsidR="006D00D5" w:rsidRPr="00EF4D4C">
        <w:rPr>
          <w:rFonts w:ascii="Arial" w:hAnsi="Arial" w:cs="Arial"/>
          <w:b/>
          <w:bCs/>
        </w:rPr>
        <w:t>. Los factores de competencia: un sistema narrativo e integrado</w:t>
      </w:r>
    </w:p>
    <w:p w14:paraId="39E9DDD2" w14:textId="77777777" w:rsidR="006D00D5" w:rsidRPr="00EF4D4C" w:rsidRDefault="006D00D5" w:rsidP="00486CEF">
      <w:pPr>
        <w:spacing w:line="276" w:lineRule="auto"/>
        <w:rPr>
          <w:rFonts w:ascii="Arial" w:hAnsi="Arial" w:cs="Arial"/>
        </w:rPr>
      </w:pPr>
    </w:p>
    <w:p w14:paraId="5BEF920F" w14:textId="77777777" w:rsidR="00EE3142" w:rsidRPr="00EF4D4C" w:rsidRDefault="006D00D5" w:rsidP="00486CEF">
      <w:pPr>
        <w:spacing w:line="276" w:lineRule="auto"/>
        <w:jc w:val="both"/>
        <w:rPr>
          <w:rFonts w:ascii="Arial" w:hAnsi="Arial" w:cs="Arial"/>
        </w:rPr>
      </w:pPr>
      <w:r w:rsidRPr="00EF4D4C">
        <w:rPr>
          <w:rFonts w:ascii="Arial" w:hAnsi="Arial" w:cs="Arial"/>
        </w:rPr>
        <w:t>El artículo 5 no puede interpretarse de forma aislada. Su eficacia depende de la articulación con cinco factores que estructuran la competencia comisarial:</w:t>
      </w:r>
    </w:p>
    <w:p w14:paraId="2C2E22B6" w14:textId="3B3116C8" w:rsidR="00EE3142" w:rsidRPr="00EF4D4C" w:rsidRDefault="00FD5823" w:rsidP="00FD5823">
      <w:pPr>
        <w:pStyle w:val="Descripcin"/>
        <w:keepNext/>
        <w:jc w:val="center"/>
        <w:rPr>
          <w:rFonts w:ascii="Arial" w:hAnsi="Arial" w:cs="Arial"/>
          <w:b/>
          <w:bCs/>
          <w:i w:val="0"/>
          <w:iCs w:val="0"/>
          <w:color w:val="000000" w:themeColor="text1"/>
          <w:sz w:val="24"/>
          <w:szCs w:val="24"/>
        </w:rPr>
      </w:pPr>
      <w:bookmarkStart w:id="7" w:name="_Toc217301475"/>
      <w:r w:rsidRPr="00EF4D4C">
        <w:rPr>
          <w:rFonts w:ascii="Arial" w:hAnsi="Arial" w:cs="Arial"/>
          <w:b/>
          <w:bCs/>
          <w:i w:val="0"/>
          <w:iCs w:val="0"/>
          <w:color w:val="000000" w:themeColor="text1"/>
          <w:sz w:val="24"/>
          <w:szCs w:val="24"/>
        </w:rPr>
        <w:t xml:space="preserve">Tabla </w:t>
      </w:r>
      <w:r w:rsidRPr="00EF4D4C">
        <w:rPr>
          <w:rFonts w:ascii="Arial" w:hAnsi="Arial" w:cs="Arial"/>
          <w:b/>
          <w:bCs/>
          <w:i w:val="0"/>
          <w:iCs w:val="0"/>
          <w:color w:val="000000" w:themeColor="text1"/>
          <w:sz w:val="24"/>
          <w:szCs w:val="24"/>
        </w:rPr>
        <w:fldChar w:fldCharType="begin"/>
      </w:r>
      <w:r w:rsidRPr="00EF4D4C">
        <w:rPr>
          <w:rFonts w:ascii="Arial" w:hAnsi="Arial" w:cs="Arial"/>
          <w:b/>
          <w:bCs/>
          <w:i w:val="0"/>
          <w:iCs w:val="0"/>
          <w:color w:val="000000" w:themeColor="text1"/>
          <w:sz w:val="24"/>
          <w:szCs w:val="24"/>
        </w:rPr>
        <w:instrText xml:space="preserve"> SEQ Tabla \* ARABIC </w:instrText>
      </w:r>
      <w:r w:rsidRPr="00EF4D4C">
        <w:rPr>
          <w:rFonts w:ascii="Arial" w:hAnsi="Arial" w:cs="Arial"/>
          <w:b/>
          <w:bCs/>
          <w:i w:val="0"/>
          <w:iCs w:val="0"/>
          <w:color w:val="000000" w:themeColor="text1"/>
          <w:sz w:val="24"/>
          <w:szCs w:val="24"/>
        </w:rPr>
        <w:fldChar w:fldCharType="separate"/>
      </w:r>
      <w:r w:rsidR="007F5C59" w:rsidRPr="00EF4D4C">
        <w:rPr>
          <w:rFonts w:ascii="Arial" w:hAnsi="Arial" w:cs="Arial"/>
          <w:b/>
          <w:bCs/>
          <w:i w:val="0"/>
          <w:iCs w:val="0"/>
          <w:noProof/>
          <w:color w:val="000000" w:themeColor="text1"/>
          <w:sz w:val="24"/>
          <w:szCs w:val="24"/>
        </w:rPr>
        <w:t>8</w:t>
      </w:r>
      <w:r w:rsidRPr="00EF4D4C">
        <w:rPr>
          <w:rFonts w:ascii="Arial" w:hAnsi="Arial" w:cs="Arial"/>
          <w:b/>
          <w:bCs/>
          <w:i w:val="0"/>
          <w:iCs w:val="0"/>
          <w:color w:val="000000" w:themeColor="text1"/>
          <w:sz w:val="24"/>
          <w:szCs w:val="24"/>
        </w:rPr>
        <w:fldChar w:fldCharType="end"/>
      </w:r>
      <w:r w:rsidRPr="00EF4D4C">
        <w:rPr>
          <w:rFonts w:ascii="Arial" w:hAnsi="Arial" w:cs="Arial"/>
          <w:b/>
          <w:bCs/>
          <w:i w:val="0"/>
          <w:iCs w:val="0"/>
          <w:color w:val="000000" w:themeColor="text1"/>
          <w:sz w:val="24"/>
          <w:szCs w:val="24"/>
        </w:rPr>
        <w:t>.</w:t>
      </w:r>
      <w:r w:rsidR="00C42BEC" w:rsidRPr="00EF4D4C">
        <w:rPr>
          <w:rFonts w:ascii="Arial" w:hAnsi="Arial" w:cs="Arial"/>
          <w:b/>
          <w:bCs/>
          <w:i w:val="0"/>
          <w:iCs w:val="0"/>
          <w:color w:val="000000" w:themeColor="text1"/>
          <w:sz w:val="24"/>
          <w:szCs w:val="24"/>
        </w:rPr>
        <w:t>Factor competencial</w:t>
      </w:r>
      <w:bookmarkEnd w:id="7"/>
    </w:p>
    <w:tbl>
      <w:tblPr>
        <w:tblStyle w:val="Tablaconcuadrcula"/>
        <w:tblW w:w="8890" w:type="dxa"/>
        <w:tblLook w:val="04A0" w:firstRow="1" w:lastRow="0" w:firstColumn="1" w:lastColumn="0" w:noHBand="0" w:noVBand="1"/>
      </w:tblPr>
      <w:tblGrid>
        <w:gridCol w:w="1707"/>
        <w:gridCol w:w="4306"/>
        <w:gridCol w:w="2877"/>
      </w:tblGrid>
      <w:tr w:rsidR="00EE3142" w:rsidRPr="00EF4D4C" w14:paraId="348E65EB" w14:textId="77777777" w:rsidTr="007A3F75">
        <w:tc>
          <w:tcPr>
            <w:tcW w:w="0" w:type="auto"/>
            <w:shd w:val="clear" w:color="auto" w:fill="1F3A5F"/>
            <w:hideMark/>
          </w:tcPr>
          <w:p w14:paraId="00F66FFF" w14:textId="77777777" w:rsidR="00EE3142" w:rsidRPr="00EF4D4C" w:rsidRDefault="00EE3142"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Factor</w:t>
            </w:r>
          </w:p>
        </w:tc>
        <w:tc>
          <w:tcPr>
            <w:tcW w:w="4306" w:type="dxa"/>
            <w:shd w:val="clear" w:color="auto" w:fill="1F3A5F"/>
            <w:hideMark/>
          </w:tcPr>
          <w:p w14:paraId="09332EE1" w14:textId="77777777" w:rsidR="00EE3142" w:rsidRPr="00EF4D4C" w:rsidRDefault="00EE3142" w:rsidP="00486CEF">
            <w:pPr>
              <w:spacing w:line="276" w:lineRule="auto"/>
              <w:jc w:val="center"/>
              <w:rPr>
                <w:rFonts w:ascii="Arial" w:eastAsia="Times New Roman" w:hAnsi="Arial" w:cs="Arial"/>
                <w:kern w:val="0"/>
                <w:lang w:eastAsia="es-ES_tradnl"/>
                <w14:ligatures w14:val="none"/>
              </w:rPr>
            </w:pPr>
            <w:r w:rsidRPr="00EF4D4C">
              <w:rPr>
                <w:rFonts w:ascii="Arial" w:eastAsia="Times New Roman" w:hAnsi="Arial" w:cs="Arial"/>
                <w:b/>
                <w:bCs/>
                <w:kern w:val="0"/>
                <w:lang w:eastAsia="es-ES_tradnl"/>
                <w14:ligatures w14:val="none"/>
              </w:rPr>
              <w:t>Descripción</w:t>
            </w:r>
          </w:p>
        </w:tc>
        <w:tc>
          <w:tcPr>
            <w:tcW w:w="0" w:type="auto"/>
            <w:shd w:val="clear" w:color="auto" w:fill="1F3A5F"/>
            <w:hideMark/>
          </w:tcPr>
          <w:p w14:paraId="0B9A2BC9" w14:textId="77777777" w:rsidR="00EE3142" w:rsidRPr="00EF4D4C" w:rsidRDefault="00EE3142" w:rsidP="00486CEF">
            <w:pPr>
              <w:spacing w:line="276" w:lineRule="auto"/>
              <w:jc w:val="center"/>
              <w:rPr>
                <w:rFonts w:ascii="Arial" w:eastAsia="Times New Roman" w:hAnsi="Arial" w:cs="Arial"/>
                <w:kern w:val="0"/>
                <w:lang w:eastAsia="es-ES_tradnl"/>
                <w14:ligatures w14:val="none"/>
              </w:rPr>
            </w:pPr>
            <w:r w:rsidRPr="00EF4D4C">
              <w:rPr>
                <w:rFonts w:ascii="Arial" w:eastAsia="Times New Roman" w:hAnsi="Arial" w:cs="Arial"/>
                <w:b/>
                <w:bCs/>
                <w:kern w:val="0"/>
                <w:lang w:eastAsia="es-ES_tradnl"/>
                <w14:ligatures w14:val="none"/>
              </w:rPr>
              <w:t>Base Legal</w:t>
            </w:r>
          </w:p>
        </w:tc>
      </w:tr>
      <w:tr w:rsidR="00EE3142" w:rsidRPr="00EF4D4C" w14:paraId="2F9885CF" w14:textId="77777777" w:rsidTr="00F64A22">
        <w:tc>
          <w:tcPr>
            <w:tcW w:w="0" w:type="auto"/>
            <w:shd w:val="clear" w:color="auto" w:fill="AEBFD6"/>
            <w:hideMark/>
          </w:tcPr>
          <w:p w14:paraId="55E8CACA" w14:textId="77777777" w:rsidR="00EE3142" w:rsidRPr="00EF4D4C" w:rsidRDefault="00EE3142"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lastRenderedPageBreak/>
              <w:t>Territorial</w:t>
            </w:r>
          </w:p>
        </w:tc>
        <w:tc>
          <w:tcPr>
            <w:tcW w:w="4306" w:type="dxa"/>
            <w:shd w:val="clear" w:color="auto" w:fill="AEBFD6"/>
            <w:hideMark/>
          </w:tcPr>
          <w:p w14:paraId="5EB8847B" w14:textId="77777777" w:rsidR="00EE3142" w:rsidRPr="00EF4D4C" w:rsidRDefault="00EE3142"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Competencia del lugar de los hechos o de la ubicación de la víctima</w:t>
            </w:r>
          </w:p>
        </w:tc>
        <w:tc>
          <w:tcPr>
            <w:tcW w:w="0" w:type="auto"/>
            <w:shd w:val="clear" w:color="auto" w:fill="AEBFD6"/>
            <w:hideMark/>
          </w:tcPr>
          <w:p w14:paraId="67BF43CA" w14:textId="77777777" w:rsidR="00EE3142" w:rsidRPr="00EF4D4C" w:rsidRDefault="00EE3142"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Art. 20 Ley 2126/2021</w:t>
            </w:r>
          </w:p>
        </w:tc>
      </w:tr>
      <w:tr w:rsidR="00EE3142" w:rsidRPr="00EF4D4C" w14:paraId="71ACBEFB" w14:textId="77777777" w:rsidTr="00F64A22">
        <w:tc>
          <w:tcPr>
            <w:tcW w:w="0" w:type="auto"/>
            <w:shd w:val="clear" w:color="auto" w:fill="AEBFD6"/>
            <w:hideMark/>
          </w:tcPr>
          <w:p w14:paraId="09521F7C" w14:textId="77777777" w:rsidR="00EE3142" w:rsidRPr="00EF4D4C" w:rsidRDefault="00EE3142"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Funcional</w:t>
            </w:r>
          </w:p>
        </w:tc>
        <w:tc>
          <w:tcPr>
            <w:tcW w:w="4306" w:type="dxa"/>
            <w:shd w:val="clear" w:color="auto" w:fill="AEBFD6"/>
            <w:hideMark/>
          </w:tcPr>
          <w:p w14:paraId="2E8E7DE3" w14:textId="77777777" w:rsidR="00EE3142" w:rsidRPr="00EF4D4C" w:rsidRDefault="00EE3142"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Determina las funciones administrativas y jurisdiccionales</w:t>
            </w:r>
          </w:p>
        </w:tc>
        <w:tc>
          <w:tcPr>
            <w:tcW w:w="0" w:type="auto"/>
            <w:shd w:val="clear" w:color="auto" w:fill="AEBFD6"/>
            <w:hideMark/>
          </w:tcPr>
          <w:p w14:paraId="2B803CE4" w14:textId="77777777" w:rsidR="00EE3142" w:rsidRPr="00EF4D4C" w:rsidRDefault="00EE3142"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Arts. 12 y 13 Ley 2126/2021</w:t>
            </w:r>
          </w:p>
        </w:tc>
      </w:tr>
      <w:tr w:rsidR="00EE3142" w:rsidRPr="00EF4D4C" w14:paraId="2985C001" w14:textId="77777777" w:rsidTr="00F64A22">
        <w:tc>
          <w:tcPr>
            <w:tcW w:w="0" w:type="auto"/>
            <w:shd w:val="clear" w:color="auto" w:fill="AEBFD6"/>
            <w:hideMark/>
          </w:tcPr>
          <w:p w14:paraId="0B27A051" w14:textId="77777777" w:rsidR="00EE3142" w:rsidRPr="00EF4D4C" w:rsidRDefault="00EE3142"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Subsidiario</w:t>
            </w:r>
          </w:p>
        </w:tc>
        <w:tc>
          <w:tcPr>
            <w:tcW w:w="4306" w:type="dxa"/>
            <w:shd w:val="clear" w:color="auto" w:fill="AEBFD6"/>
            <w:hideMark/>
          </w:tcPr>
          <w:p w14:paraId="0A3E0418" w14:textId="77777777" w:rsidR="00EE3142" w:rsidRPr="00EF4D4C" w:rsidRDefault="00EE3142"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Actúa cuando no hay Defensor de Familia en el territorio</w:t>
            </w:r>
          </w:p>
        </w:tc>
        <w:tc>
          <w:tcPr>
            <w:tcW w:w="0" w:type="auto"/>
            <w:shd w:val="clear" w:color="auto" w:fill="AEBFD6"/>
            <w:hideMark/>
          </w:tcPr>
          <w:p w14:paraId="082FB6D5" w14:textId="77777777" w:rsidR="00EE3142" w:rsidRPr="00EF4D4C" w:rsidRDefault="00EE3142"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Par. 3, art. 5 Ley 2126/2021</w:t>
            </w:r>
          </w:p>
        </w:tc>
      </w:tr>
      <w:tr w:rsidR="00EE3142" w:rsidRPr="00EF4D4C" w14:paraId="7CC2F023" w14:textId="77777777" w:rsidTr="00F64A22">
        <w:tc>
          <w:tcPr>
            <w:tcW w:w="0" w:type="auto"/>
            <w:shd w:val="clear" w:color="auto" w:fill="AEBFD6"/>
            <w:hideMark/>
          </w:tcPr>
          <w:p w14:paraId="0B23A9CD" w14:textId="77777777" w:rsidR="00EE3142" w:rsidRPr="00EF4D4C" w:rsidRDefault="00EE3142"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Concurrente</w:t>
            </w:r>
          </w:p>
        </w:tc>
        <w:tc>
          <w:tcPr>
            <w:tcW w:w="4306" w:type="dxa"/>
            <w:shd w:val="clear" w:color="auto" w:fill="AEBFD6"/>
            <w:hideMark/>
          </w:tcPr>
          <w:p w14:paraId="7235E33A" w14:textId="77777777" w:rsidR="00EE3142" w:rsidRPr="00EF4D4C" w:rsidRDefault="00EE3142"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Coordinación entre Comisarías y Defensorías</w:t>
            </w:r>
          </w:p>
        </w:tc>
        <w:tc>
          <w:tcPr>
            <w:tcW w:w="0" w:type="auto"/>
            <w:shd w:val="clear" w:color="auto" w:fill="AEBFD6"/>
            <w:hideMark/>
          </w:tcPr>
          <w:p w14:paraId="185B2C65" w14:textId="77777777" w:rsidR="00EE3142" w:rsidRPr="00EF4D4C" w:rsidRDefault="00EE3142"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Par. 1, art. 5 Ley 2126/2021</w:t>
            </w:r>
          </w:p>
        </w:tc>
      </w:tr>
      <w:tr w:rsidR="00EE3142" w:rsidRPr="00EF4D4C" w14:paraId="78AE882E" w14:textId="77777777" w:rsidTr="00F64A22">
        <w:tc>
          <w:tcPr>
            <w:tcW w:w="0" w:type="auto"/>
            <w:shd w:val="clear" w:color="auto" w:fill="AEBFD6"/>
            <w:hideMark/>
          </w:tcPr>
          <w:p w14:paraId="5D835990" w14:textId="77777777" w:rsidR="00EE3142" w:rsidRPr="00EF4D4C" w:rsidRDefault="00EE3142" w:rsidP="00486CEF">
            <w:pPr>
              <w:spacing w:line="276" w:lineRule="auto"/>
              <w:jc w:val="center"/>
              <w:rPr>
                <w:rFonts w:ascii="Arial" w:eastAsia="Times New Roman" w:hAnsi="Arial" w:cs="Arial"/>
                <w:b/>
                <w:bCs/>
                <w:kern w:val="0"/>
                <w:lang w:eastAsia="es-ES_tradnl"/>
                <w14:ligatures w14:val="none"/>
              </w:rPr>
            </w:pPr>
            <w:r w:rsidRPr="00EF4D4C">
              <w:rPr>
                <w:rFonts w:ascii="Arial" w:eastAsia="Times New Roman" w:hAnsi="Arial" w:cs="Arial"/>
                <w:b/>
                <w:bCs/>
                <w:kern w:val="0"/>
                <w:lang w:eastAsia="es-ES_tradnl"/>
                <w14:ligatures w14:val="none"/>
              </w:rPr>
              <w:t>A Prevención</w:t>
            </w:r>
          </w:p>
        </w:tc>
        <w:tc>
          <w:tcPr>
            <w:tcW w:w="4306" w:type="dxa"/>
            <w:shd w:val="clear" w:color="auto" w:fill="AEBFD6"/>
            <w:hideMark/>
          </w:tcPr>
          <w:p w14:paraId="130FC40E" w14:textId="77777777" w:rsidR="00EE3142" w:rsidRPr="00EF4D4C" w:rsidRDefault="00EE3142" w:rsidP="00486CEF">
            <w:pPr>
              <w:spacing w:line="276" w:lineRule="auto"/>
              <w:jc w:val="both"/>
              <w:rPr>
                <w:rFonts w:ascii="Arial" w:eastAsia="Times New Roman" w:hAnsi="Arial" w:cs="Arial"/>
                <w:kern w:val="0"/>
                <w:lang w:eastAsia="es-ES_tradnl"/>
                <w14:ligatures w14:val="none"/>
              </w:rPr>
            </w:pPr>
            <w:r w:rsidRPr="00EF4D4C">
              <w:rPr>
                <w:rFonts w:ascii="Arial" w:eastAsia="Times New Roman" w:hAnsi="Arial" w:cs="Arial"/>
                <w:kern w:val="0"/>
                <w:lang w:eastAsia="es-ES_tradnl"/>
                <w14:ligatures w14:val="none"/>
              </w:rPr>
              <w:t>Competencia de la primera autoridad que actúa</w:t>
            </w:r>
          </w:p>
        </w:tc>
        <w:tc>
          <w:tcPr>
            <w:tcW w:w="0" w:type="auto"/>
            <w:shd w:val="clear" w:color="auto" w:fill="AEBFD6"/>
            <w:hideMark/>
          </w:tcPr>
          <w:p w14:paraId="1CDA222D" w14:textId="77777777" w:rsidR="00EE3142" w:rsidRPr="00EF4D4C" w:rsidRDefault="5D793B34" w:rsidP="00486CEF">
            <w:pPr>
              <w:spacing w:line="276" w:lineRule="auto"/>
              <w:jc w:val="both"/>
              <w:rPr>
                <w:rFonts w:ascii="Arial" w:hAnsi="Arial" w:cs="Arial"/>
              </w:rPr>
            </w:pPr>
            <w:r w:rsidRPr="00EF4D4C">
              <w:rPr>
                <w:rFonts w:ascii="Arial" w:eastAsia="Times New Roman" w:hAnsi="Arial" w:cs="Arial"/>
                <w:kern w:val="0"/>
                <w:lang w:eastAsia="es-ES"/>
                <w14:ligatures w14:val="none"/>
              </w:rPr>
              <w:t>Art. 99 Ley 1098/2006</w:t>
            </w:r>
          </w:p>
          <w:p w14:paraId="5EE0FF49" w14:textId="19424D06" w:rsidR="00EE3142" w:rsidRPr="00EF4D4C" w:rsidRDefault="00DB0D4A" w:rsidP="00C532E8">
            <w:pPr>
              <w:spacing w:line="276" w:lineRule="auto"/>
              <w:jc w:val="both"/>
              <w:rPr>
                <w:rFonts w:ascii="Arial" w:eastAsia="Century Gothic" w:hAnsi="Arial" w:cs="Arial"/>
                <w:kern w:val="0"/>
                <w14:ligatures w14:val="none"/>
              </w:rPr>
            </w:pPr>
            <w:r w:rsidRPr="00EF4D4C">
              <w:rPr>
                <w:rFonts w:ascii="Arial" w:eastAsia="Century Gothic" w:hAnsi="Arial" w:cs="Arial"/>
                <w:b/>
                <w:bCs/>
              </w:rPr>
              <w:t xml:space="preserve">Parágrafo 2° </w:t>
            </w:r>
            <w:r w:rsidRPr="00EF4D4C">
              <w:rPr>
                <w:rFonts w:ascii="Arial" w:eastAsia="Century Gothic" w:hAnsi="Arial" w:cs="Arial"/>
              </w:rPr>
              <w:t>art. 5 Ley 2126/2021</w:t>
            </w:r>
          </w:p>
        </w:tc>
      </w:tr>
    </w:tbl>
    <w:p w14:paraId="77A16AF6" w14:textId="6C124E9B" w:rsidR="00EE3142" w:rsidRPr="00EF4D4C" w:rsidRDefault="00EE3142" w:rsidP="00486CEF">
      <w:pPr>
        <w:spacing w:line="276" w:lineRule="auto"/>
        <w:rPr>
          <w:rFonts w:ascii="Arial" w:hAnsi="Arial" w:cs="Arial"/>
        </w:rPr>
      </w:pPr>
      <w:r w:rsidRPr="00EF4D4C">
        <w:rPr>
          <w:rFonts w:ascii="Arial" w:eastAsia="Times New Roman" w:hAnsi="Arial" w:cs="Arial"/>
          <w:noProof/>
          <w:kern w:val="0"/>
          <w:lang w:eastAsia="es-ES_tradnl"/>
          <w14:ligatures w14:val="none"/>
        </w:rPr>
        <w:t xml:space="preserve"> </w:t>
      </w:r>
    </w:p>
    <w:p w14:paraId="069166FE" w14:textId="77777777" w:rsidR="00EE3142" w:rsidRPr="00EF4D4C" w:rsidRDefault="5D793B34" w:rsidP="00486CEF">
      <w:pPr>
        <w:spacing w:line="276" w:lineRule="auto"/>
        <w:jc w:val="both"/>
        <w:textAlignment w:val="baseline"/>
        <w:rPr>
          <w:rFonts w:ascii="Arial" w:hAnsi="Arial" w:cs="Arial"/>
        </w:rPr>
      </w:pPr>
      <w:r w:rsidRPr="00EF4D4C">
        <w:rPr>
          <w:rFonts w:ascii="Arial" w:eastAsia="Times New Roman" w:hAnsi="Arial" w:cs="Arial"/>
          <w:b/>
          <w:bCs/>
          <w:color w:val="000000"/>
          <w:kern w:val="0"/>
          <w:lang w:val="es-CO" w:eastAsia="es-ES"/>
          <w14:ligatures w14:val="none"/>
        </w:rPr>
        <w:t>1. FACTOR TERRITORIAL (Art. 20 Ley 2126/2021)</w:t>
      </w:r>
      <w:r w:rsidRPr="00EF4D4C">
        <w:rPr>
          <w:rFonts w:ascii="Arial" w:eastAsia="Times New Roman" w:hAnsi="Arial" w:cs="Arial"/>
          <w:color w:val="000000"/>
          <w:kern w:val="0"/>
          <w:lang w:eastAsia="es-ES"/>
          <w14:ligatures w14:val="none"/>
        </w:rPr>
        <w:t> </w:t>
      </w:r>
    </w:p>
    <w:p w14:paraId="1D6A7B3F" w14:textId="54B115B5" w:rsidR="5368BBF5" w:rsidRPr="00EF4D4C" w:rsidRDefault="5368BBF5" w:rsidP="00486CEF">
      <w:pPr>
        <w:spacing w:line="276" w:lineRule="auto"/>
        <w:jc w:val="both"/>
        <w:rPr>
          <w:rFonts w:ascii="Arial" w:eastAsia="Times New Roman" w:hAnsi="Arial" w:cs="Arial"/>
          <w:color w:val="000000" w:themeColor="text1"/>
          <w:lang w:eastAsia="es-ES"/>
        </w:rPr>
      </w:pPr>
    </w:p>
    <w:p w14:paraId="1328C910" w14:textId="0A9A6957" w:rsidR="00EE3142" w:rsidRPr="00EF4D4C" w:rsidRDefault="5D793B34" w:rsidP="00486CEF">
      <w:pPr>
        <w:spacing w:line="276" w:lineRule="auto"/>
        <w:jc w:val="both"/>
        <w:textAlignment w:val="baseline"/>
        <w:rPr>
          <w:rFonts w:ascii="Arial" w:eastAsia="Times New Roman" w:hAnsi="Arial" w:cs="Arial"/>
          <w:color w:val="000000"/>
          <w:kern w:val="0"/>
          <w:lang w:eastAsia="es-ES"/>
          <w14:ligatures w14:val="none"/>
        </w:rPr>
      </w:pPr>
      <w:r w:rsidRPr="00EF4D4C">
        <w:rPr>
          <w:rFonts w:ascii="Arial" w:eastAsia="Times New Roman" w:hAnsi="Arial" w:cs="Arial"/>
          <w:color w:val="000000"/>
          <w:kern w:val="0"/>
          <w:lang w:val="es-CO" w:eastAsia="es-ES"/>
          <w14:ligatures w14:val="none"/>
        </w:rPr>
        <w:t xml:space="preserve">Competente: la Comisaría del lugar donde ocurrió el hecho o donde se encuentre la víctima al momento de requerir protección. En la práctica se privilegia </w:t>
      </w:r>
      <w:r w:rsidR="3B7A8609" w:rsidRPr="00EF4D4C">
        <w:rPr>
          <w:rFonts w:ascii="Arial" w:eastAsia="Times New Roman" w:hAnsi="Arial" w:cs="Arial"/>
          <w:color w:val="000000" w:themeColor="text1"/>
          <w:lang w:val="es-CO" w:eastAsia="es-ES"/>
        </w:rPr>
        <w:t>la comisaría</w:t>
      </w:r>
      <w:r w:rsidRPr="00EF4D4C">
        <w:rPr>
          <w:rFonts w:ascii="Arial" w:eastAsia="Times New Roman" w:hAnsi="Arial" w:cs="Arial"/>
          <w:color w:val="000000" w:themeColor="text1"/>
          <w:lang w:val="es-CO" w:eastAsia="es-ES"/>
        </w:rPr>
        <w:t xml:space="preserve"> que conoce primero del </w:t>
      </w:r>
      <w:r w:rsidR="653E8969" w:rsidRPr="00EF4D4C">
        <w:rPr>
          <w:rFonts w:ascii="Arial" w:eastAsia="Times New Roman" w:hAnsi="Arial" w:cs="Arial"/>
          <w:color w:val="000000" w:themeColor="text1"/>
          <w:lang w:val="es-CO" w:eastAsia="es-ES"/>
        </w:rPr>
        <w:t>caso para</w:t>
      </w:r>
      <w:r w:rsidRPr="00EF4D4C">
        <w:rPr>
          <w:rFonts w:ascii="Arial" w:eastAsia="Times New Roman" w:hAnsi="Arial" w:cs="Arial"/>
          <w:color w:val="000000" w:themeColor="text1"/>
          <w:lang w:val="es-CO" w:eastAsia="es-ES"/>
        </w:rPr>
        <w:t xml:space="preserve"> adoptar medidas urgentes; luego se determinará la </w:t>
      </w:r>
      <w:r w:rsidR="05F59E6F" w:rsidRPr="00EF4D4C">
        <w:rPr>
          <w:rFonts w:ascii="Arial" w:eastAsia="Times New Roman" w:hAnsi="Arial" w:cs="Arial"/>
          <w:color w:val="000000" w:themeColor="text1"/>
          <w:lang w:val="es-CO" w:eastAsia="es-ES"/>
        </w:rPr>
        <w:t xml:space="preserve">comisaría </w:t>
      </w:r>
      <w:r w:rsidR="7C944671" w:rsidRPr="00EF4D4C">
        <w:rPr>
          <w:rFonts w:ascii="Arial" w:eastAsia="Times New Roman" w:hAnsi="Arial" w:cs="Arial"/>
          <w:color w:val="000000" w:themeColor="text1"/>
          <w:lang w:eastAsia="es-ES"/>
        </w:rPr>
        <w:t xml:space="preserve">competente. </w:t>
      </w:r>
    </w:p>
    <w:p w14:paraId="1EB6136D" w14:textId="77777777" w:rsidR="00DA03DA" w:rsidRPr="00EF4D4C" w:rsidRDefault="00DA03DA" w:rsidP="00486CEF">
      <w:pPr>
        <w:spacing w:line="276" w:lineRule="auto"/>
        <w:jc w:val="both"/>
        <w:textAlignment w:val="baseline"/>
        <w:rPr>
          <w:rFonts w:ascii="Arial" w:eastAsia="Times New Roman" w:hAnsi="Arial" w:cs="Arial"/>
          <w:kern w:val="0"/>
          <w:lang w:eastAsia="es-ES_tradnl"/>
          <w14:ligatures w14:val="none"/>
        </w:rPr>
      </w:pPr>
    </w:p>
    <w:p w14:paraId="4A14014E" w14:textId="77777777" w:rsidR="00EE3142" w:rsidRPr="00EF4D4C" w:rsidRDefault="00EE3142" w:rsidP="00486CEF">
      <w:pPr>
        <w:spacing w:line="276" w:lineRule="auto"/>
        <w:textAlignment w:val="baseline"/>
        <w:rPr>
          <w:rFonts w:ascii="Arial" w:eastAsia="Times New Roman" w:hAnsi="Arial" w:cs="Arial"/>
          <w:color w:val="000000"/>
          <w:kern w:val="0"/>
          <w:lang w:eastAsia="es-ES_tradnl"/>
          <w14:ligatures w14:val="none"/>
        </w:rPr>
      </w:pPr>
      <w:r w:rsidRPr="00EF4D4C">
        <w:rPr>
          <w:rFonts w:ascii="Arial" w:eastAsia="Times New Roman" w:hAnsi="Arial" w:cs="Arial"/>
          <w:b/>
          <w:bCs/>
          <w:color w:val="000000"/>
          <w:kern w:val="0"/>
          <w:lang w:val="es-CO" w:eastAsia="es-ES_tradnl"/>
          <w14:ligatures w14:val="none"/>
        </w:rPr>
        <w:t>¿Por qué? </w:t>
      </w:r>
      <w:r w:rsidRPr="00EF4D4C">
        <w:rPr>
          <w:rFonts w:ascii="Arial" w:eastAsia="Times New Roman" w:hAnsi="Arial" w:cs="Arial"/>
          <w:color w:val="000000"/>
          <w:kern w:val="0"/>
          <w:lang w:eastAsia="es-ES_tradnl"/>
          <w14:ligatures w14:val="none"/>
        </w:rPr>
        <w:t> </w:t>
      </w:r>
      <w:r w:rsidRPr="00EF4D4C">
        <w:rPr>
          <w:rFonts w:ascii="Arial" w:eastAsia="Times New Roman" w:hAnsi="Arial" w:cs="Arial"/>
          <w:color w:val="000000"/>
          <w:kern w:val="0"/>
          <w:lang w:val="es-CO" w:eastAsia="es-ES_tradnl"/>
          <w14:ligatures w14:val="none"/>
        </w:rPr>
        <w:t>Evita revictimización por traslados, protege la movilidad de la víctima y responde a realidades de desplazamiento interno.</w:t>
      </w:r>
      <w:r w:rsidRPr="00EF4D4C">
        <w:rPr>
          <w:rFonts w:ascii="Arial" w:eastAsia="Times New Roman" w:hAnsi="Arial" w:cs="Arial"/>
          <w:color w:val="000000"/>
          <w:kern w:val="0"/>
          <w:lang w:eastAsia="es-ES_tradnl"/>
          <w14:ligatures w14:val="none"/>
        </w:rPr>
        <w:t> </w:t>
      </w:r>
    </w:p>
    <w:p w14:paraId="7C82FCD3" w14:textId="77777777" w:rsidR="00DA03DA" w:rsidRPr="00EF4D4C" w:rsidRDefault="00DA03DA" w:rsidP="00486CEF">
      <w:pPr>
        <w:spacing w:line="276" w:lineRule="auto"/>
        <w:textAlignment w:val="baseline"/>
        <w:rPr>
          <w:rFonts w:ascii="Arial" w:eastAsia="Times New Roman" w:hAnsi="Arial" w:cs="Arial"/>
          <w:color w:val="0F4761"/>
          <w:kern w:val="0"/>
          <w:lang w:eastAsia="es-ES_tradnl"/>
          <w14:ligatures w14:val="none"/>
        </w:rPr>
      </w:pPr>
    </w:p>
    <w:p w14:paraId="689751F2" w14:textId="2F6F1B4A" w:rsidR="00DA03DA" w:rsidRPr="00EF4D4C" w:rsidRDefault="5D793B34" w:rsidP="00486CEF">
      <w:pPr>
        <w:spacing w:line="276" w:lineRule="auto"/>
        <w:textAlignment w:val="baseline"/>
        <w:rPr>
          <w:rFonts w:ascii="Arial" w:hAnsi="Arial" w:cs="Arial"/>
        </w:rPr>
      </w:pPr>
      <w:r w:rsidRPr="00EF4D4C">
        <w:rPr>
          <w:rFonts w:ascii="Arial" w:eastAsia="Times New Roman" w:hAnsi="Arial" w:cs="Arial"/>
          <w:b/>
          <w:bCs/>
          <w:color w:val="000000"/>
          <w:kern w:val="0"/>
          <w:lang w:val="es-CO" w:eastAsia="es-ES"/>
          <w14:ligatures w14:val="none"/>
        </w:rPr>
        <w:t>Jurisprudencia y efectos prácticos</w:t>
      </w:r>
    </w:p>
    <w:p w14:paraId="3A9A487E" w14:textId="3EBA1F47" w:rsidR="000D0254" w:rsidRPr="00EF4D4C" w:rsidRDefault="006000B6" w:rsidP="00486CEF">
      <w:pPr>
        <w:pStyle w:val="Prrafodelista"/>
        <w:spacing w:line="276" w:lineRule="auto"/>
        <w:jc w:val="center"/>
        <w:textAlignment w:val="baseline"/>
        <w:rPr>
          <w:rFonts w:ascii="Arial" w:eastAsia="Times New Roman" w:hAnsi="Arial" w:cs="Arial"/>
          <w:kern w:val="0"/>
          <w:lang w:eastAsia="es-ES_tradnl"/>
          <w14:ligatures w14:val="none"/>
        </w:rPr>
      </w:pPr>
      <w:r w:rsidRPr="00EF4D4C">
        <w:rPr>
          <w:rFonts w:ascii="Arial" w:eastAsia="Times New Roman" w:hAnsi="Arial" w:cs="Arial"/>
          <w:noProof/>
          <w:kern w:val="0"/>
          <w:lang w:eastAsia="es-ES_tradnl"/>
          <w14:ligatures w14:val="none"/>
        </w:rPr>
        <w:drawing>
          <wp:inline distT="0" distB="0" distL="0" distR="0" wp14:anchorId="694436E6" wp14:editId="7785E2FD">
            <wp:extent cx="4355432" cy="2328974"/>
            <wp:effectExtent l="0" t="0" r="7620" b="0"/>
            <wp:docPr id="2092246535"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406" t="7378" r="3164" b="57956"/>
                    <a:stretch>
                      <a:fillRect/>
                    </a:stretch>
                  </pic:blipFill>
                  <pic:spPr bwMode="auto">
                    <a:xfrm>
                      <a:off x="0" y="0"/>
                      <a:ext cx="4385995" cy="2345317"/>
                    </a:xfrm>
                    <a:prstGeom prst="rect">
                      <a:avLst/>
                    </a:prstGeom>
                    <a:noFill/>
                    <a:ln>
                      <a:noFill/>
                    </a:ln>
                    <a:extLst>
                      <a:ext uri="{53640926-AAD7-44D8-BBD7-CCE9431645EC}">
                        <a14:shadowObscured xmlns:a14="http://schemas.microsoft.com/office/drawing/2010/main"/>
                      </a:ext>
                    </a:extLst>
                  </pic:spPr>
                </pic:pic>
              </a:graphicData>
            </a:graphic>
          </wp:inline>
        </w:drawing>
      </w:r>
    </w:p>
    <w:p w14:paraId="4E27EAAA" w14:textId="0CBE3BA6" w:rsidR="000D0254" w:rsidRPr="00EF4D4C" w:rsidRDefault="000D0254" w:rsidP="00486CEF">
      <w:pPr>
        <w:pStyle w:val="Prrafodelista"/>
        <w:spacing w:line="276" w:lineRule="auto"/>
        <w:jc w:val="both"/>
        <w:textAlignment w:val="baseline"/>
        <w:rPr>
          <w:rFonts w:ascii="Arial" w:eastAsia="Times New Roman" w:hAnsi="Arial" w:cs="Arial"/>
          <w:kern w:val="0"/>
          <w:lang w:eastAsia="es-ES_tradnl"/>
          <w14:ligatures w14:val="none"/>
        </w:rPr>
      </w:pPr>
    </w:p>
    <w:p w14:paraId="10A4DDD5" w14:textId="77777777" w:rsidR="00EE3142" w:rsidRPr="00EF4D4C" w:rsidRDefault="5D793B34" w:rsidP="00486CEF">
      <w:pPr>
        <w:spacing w:line="276" w:lineRule="auto"/>
        <w:jc w:val="both"/>
        <w:textAlignment w:val="baseline"/>
        <w:rPr>
          <w:rFonts w:ascii="Arial" w:eastAsia="Times New Roman" w:hAnsi="Arial" w:cs="Arial"/>
          <w:kern w:val="0"/>
          <w:lang w:eastAsia="es-ES"/>
          <w14:ligatures w14:val="none"/>
        </w:rPr>
      </w:pPr>
      <w:r w:rsidRPr="00EF4D4C">
        <w:rPr>
          <w:rFonts w:ascii="Arial" w:eastAsia="Times New Roman" w:hAnsi="Arial" w:cs="Arial"/>
          <w:b/>
          <w:bCs/>
          <w:kern w:val="0"/>
          <w:lang w:val="es-CO" w:eastAsia="es-ES"/>
          <w14:ligatures w14:val="none"/>
        </w:rPr>
        <w:t>Práctica:</w:t>
      </w:r>
      <w:r w:rsidRPr="00EF4D4C">
        <w:rPr>
          <w:rFonts w:ascii="Arial" w:eastAsia="Times New Roman" w:hAnsi="Arial" w:cs="Arial"/>
          <w:kern w:val="0"/>
          <w:lang w:val="es-CO" w:eastAsia="es-ES"/>
          <w14:ligatures w14:val="none"/>
        </w:rPr>
        <w:t> si la víctima ya tiene domicilio claro en otro municipio, la comisaría que decidió medidas provisionales debe coordinar el traslado del expediente y comunicar la competencia definitiva a la comisaría del domicilio.</w:t>
      </w:r>
      <w:r w:rsidRPr="00EF4D4C">
        <w:rPr>
          <w:rFonts w:ascii="Arial" w:eastAsia="Times New Roman" w:hAnsi="Arial" w:cs="Arial"/>
          <w:kern w:val="0"/>
          <w:lang w:eastAsia="es-ES"/>
          <w14:ligatures w14:val="none"/>
        </w:rPr>
        <w:t> </w:t>
      </w:r>
    </w:p>
    <w:p w14:paraId="7D054B73" w14:textId="7425FB44" w:rsidR="00DA03DA" w:rsidRPr="00EF4D4C" w:rsidRDefault="00DA03DA" w:rsidP="00486CEF">
      <w:pPr>
        <w:spacing w:line="276" w:lineRule="auto"/>
        <w:ind w:left="720"/>
        <w:jc w:val="both"/>
        <w:textAlignment w:val="baseline"/>
        <w:rPr>
          <w:rFonts w:ascii="Arial" w:eastAsia="Times New Roman" w:hAnsi="Arial" w:cs="Arial"/>
          <w:kern w:val="0"/>
          <w:lang w:eastAsia="es-ES"/>
          <w14:ligatures w14:val="none"/>
        </w:rPr>
      </w:pPr>
    </w:p>
    <w:p w14:paraId="4F2C6FF7" w14:textId="43568F60" w:rsidR="00EE3142" w:rsidRPr="00EF4D4C" w:rsidRDefault="5D793B34" w:rsidP="00486CEF">
      <w:pPr>
        <w:spacing w:line="276" w:lineRule="auto"/>
        <w:jc w:val="both"/>
        <w:textAlignment w:val="baseline"/>
        <w:rPr>
          <w:rFonts w:ascii="Arial" w:eastAsia="Times New Roman" w:hAnsi="Arial" w:cs="Arial"/>
          <w:kern w:val="0"/>
          <w:lang w:eastAsia="es-ES"/>
          <w14:ligatures w14:val="none"/>
        </w:rPr>
      </w:pPr>
      <w:r w:rsidRPr="00EF4D4C">
        <w:rPr>
          <w:rFonts w:ascii="Arial" w:eastAsia="Times New Roman" w:hAnsi="Arial" w:cs="Arial"/>
          <w:b/>
          <w:bCs/>
          <w:kern w:val="0"/>
          <w:lang w:val="es-CO" w:eastAsia="es-ES"/>
          <w14:ligatures w14:val="none"/>
        </w:rPr>
        <w:lastRenderedPageBreak/>
        <w:t>Consecuencia práctica para operadores:</w:t>
      </w:r>
      <w:r w:rsidRPr="00EF4D4C">
        <w:rPr>
          <w:rFonts w:ascii="Arial" w:eastAsia="Times New Roman" w:hAnsi="Arial" w:cs="Arial"/>
          <w:kern w:val="0"/>
          <w:lang w:val="es-CO" w:eastAsia="es-ES"/>
          <w14:ligatures w14:val="none"/>
        </w:rPr>
        <w:t xml:space="preserve"> la regla de oro es proteger de inmediato; la definición definitiva de competencia </w:t>
      </w:r>
      <w:proofErr w:type="spellStart"/>
      <w:r w:rsidRPr="00EF4D4C">
        <w:rPr>
          <w:rFonts w:ascii="Arial" w:eastAsia="Times New Roman" w:hAnsi="Arial" w:cs="Arial"/>
          <w:kern w:val="0"/>
          <w:lang w:val="es-CO" w:eastAsia="es-ES"/>
          <w14:ligatures w14:val="none"/>
        </w:rPr>
        <w:t>pu</w:t>
      </w:r>
      <w:r w:rsidR="006C65A3" w:rsidRPr="00EF4D4C">
        <w:rPr>
          <w:rFonts w:ascii="Arial" w:eastAsia="Times New Roman" w:hAnsi="Arial" w:cs="Arial"/>
          <w:kern w:val="0"/>
          <w:lang w:val="es-CO" w:eastAsia="es-ES"/>
          <w14:ligatures w14:val="none"/>
        </w:rPr>
        <w:t>A</w:t>
      </w:r>
      <w:proofErr w:type="spellEnd"/>
      <w:r w:rsidR="006C65A3" w:rsidRPr="00EF4D4C">
        <w:rPr>
          <w:rFonts w:ascii="Arial" w:eastAsia="Times New Roman" w:hAnsi="Arial" w:cs="Arial"/>
          <w:kern w:val="0"/>
          <w:lang w:val="es-CO" w:eastAsia="es-ES"/>
          <w14:ligatures w14:val="none"/>
        </w:rPr>
        <w:tab/>
      </w:r>
      <w:proofErr w:type="spellStart"/>
      <w:r w:rsidRPr="00EF4D4C">
        <w:rPr>
          <w:rFonts w:ascii="Arial" w:eastAsia="Times New Roman" w:hAnsi="Arial" w:cs="Arial"/>
          <w:kern w:val="0"/>
          <w:lang w:val="es-CO" w:eastAsia="es-ES"/>
          <w14:ligatures w14:val="none"/>
        </w:rPr>
        <w:t>ede</w:t>
      </w:r>
      <w:proofErr w:type="spellEnd"/>
      <w:r w:rsidRPr="00EF4D4C">
        <w:rPr>
          <w:rFonts w:ascii="Arial" w:eastAsia="Times New Roman" w:hAnsi="Arial" w:cs="Arial"/>
          <w:kern w:val="0"/>
          <w:lang w:val="es-CO" w:eastAsia="es-ES"/>
          <w14:ligatures w14:val="none"/>
        </w:rPr>
        <w:t xml:space="preserve"> resolverse después, y cuando haya conflicto territorial los tribunales superiores o salas de consulta resolverán según el caso (ver Tabla de conflicto de competencias).</w:t>
      </w:r>
      <w:r w:rsidRPr="00EF4D4C">
        <w:rPr>
          <w:rFonts w:ascii="Arial" w:eastAsia="Times New Roman" w:hAnsi="Arial" w:cs="Arial"/>
          <w:kern w:val="0"/>
          <w:lang w:eastAsia="es-ES"/>
          <w14:ligatures w14:val="none"/>
        </w:rPr>
        <w:t> </w:t>
      </w:r>
    </w:p>
    <w:p w14:paraId="76D033DD" w14:textId="77777777" w:rsidR="00DA03DA" w:rsidRPr="00EF4D4C" w:rsidRDefault="00DA03DA" w:rsidP="00486CEF">
      <w:pPr>
        <w:spacing w:line="276" w:lineRule="auto"/>
        <w:jc w:val="both"/>
        <w:textAlignment w:val="baseline"/>
        <w:rPr>
          <w:rFonts w:ascii="Arial" w:eastAsia="Times New Roman" w:hAnsi="Arial" w:cs="Arial"/>
          <w:b/>
          <w:bCs/>
          <w:color w:val="000000"/>
          <w:kern w:val="0"/>
          <w:lang w:val="es-CO" w:eastAsia="es-ES_tradnl"/>
          <w14:ligatures w14:val="none"/>
        </w:rPr>
      </w:pPr>
    </w:p>
    <w:p w14:paraId="2C629D06" w14:textId="77777777" w:rsidR="00EE3142" w:rsidRPr="00EF4D4C" w:rsidRDefault="5D793B34" w:rsidP="00486CEF">
      <w:pPr>
        <w:spacing w:line="276" w:lineRule="auto"/>
        <w:jc w:val="both"/>
        <w:textAlignment w:val="baseline"/>
        <w:rPr>
          <w:rFonts w:ascii="Arial" w:hAnsi="Arial" w:cs="Arial"/>
        </w:rPr>
      </w:pPr>
      <w:r w:rsidRPr="00EF4D4C">
        <w:rPr>
          <w:rFonts w:ascii="Arial" w:eastAsia="Times New Roman" w:hAnsi="Arial" w:cs="Arial"/>
          <w:b/>
          <w:bCs/>
          <w:color w:val="000000"/>
          <w:kern w:val="0"/>
          <w:lang w:val="es-CO" w:eastAsia="es-ES"/>
          <w14:ligatures w14:val="none"/>
        </w:rPr>
        <w:t>2. FACTOR FUNCIONAL (Arts. 12 y 13 Ley 2126/2021)</w:t>
      </w:r>
      <w:r w:rsidRPr="00EF4D4C">
        <w:rPr>
          <w:rFonts w:ascii="Arial" w:eastAsia="Times New Roman" w:hAnsi="Arial" w:cs="Arial"/>
          <w:color w:val="000000"/>
          <w:kern w:val="0"/>
          <w:lang w:eastAsia="es-ES"/>
          <w14:ligatures w14:val="none"/>
        </w:rPr>
        <w:t> </w:t>
      </w:r>
    </w:p>
    <w:p w14:paraId="2FA2F565" w14:textId="33539BD0" w:rsidR="5368BBF5" w:rsidRPr="00EF4D4C" w:rsidRDefault="5368BBF5" w:rsidP="00486CEF">
      <w:pPr>
        <w:spacing w:line="276" w:lineRule="auto"/>
        <w:jc w:val="both"/>
        <w:rPr>
          <w:rFonts w:ascii="Arial" w:eastAsia="Times New Roman" w:hAnsi="Arial" w:cs="Arial"/>
          <w:color w:val="000000" w:themeColor="text1"/>
          <w:lang w:eastAsia="es-ES"/>
        </w:rPr>
      </w:pPr>
    </w:p>
    <w:p w14:paraId="5E2EACD8" w14:textId="77777777" w:rsidR="00EE3142" w:rsidRPr="00EF4D4C" w:rsidRDefault="00EE3142" w:rsidP="00486CEF">
      <w:pPr>
        <w:spacing w:line="276" w:lineRule="auto"/>
        <w:jc w:val="both"/>
        <w:textAlignment w:val="baseline"/>
        <w:rPr>
          <w:rFonts w:ascii="Arial" w:eastAsia="Times New Roman" w:hAnsi="Arial" w:cs="Arial"/>
          <w:kern w:val="0"/>
          <w:lang w:eastAsia="es-ES_tradnl"/>
          <w14:ligatures w14:val="none"/>
        </w:rPr>
      </w:pPr>
      <w:r w:rsidRPr="00EF4D4C">
        <w:rPr>
          <w:rFonts w:ascii="Arial" w:eastAsia="Times New Roman" w:hAnsi="Arial" w:cs="Arial"/>
          <w:color w:val="000000"/>
          <w:kern w:val="0"/>
          <w:lang w:val="es-CO" w:eastAsia="es-ES_tradnl"/>
          <w14:ligatures w14:val="none"/>
        </w:rPr>
        <w:t>Determina </w:t>
      </w:r>
      <w:r w:rsidRPr="00EF4D4C">
        <w:rPr>
          <w:rFonts w:ascii="Arial" w:eastAsia="Times New Roman" w:hAnsi="Arial" w:cs="Arial"/>
          <w:i/>
          <w:iCs/>
          <w:color w:val="000000"/>
          <w:kern w:val="0"/>
          <w:lang w:val="es-CO" w:eastAsia="es-ES_tradnl"/>
          <w14:ligatures w14:val="none"/>
        </w:rPr>
        <w:t>qué</w:t>
      </w:r>
      <w:r w:rsidRPr="00EF4D4C">
        <w:rPr>
          <w:rFonts w:ascii="Arial" w:eastAsia="Times New Roman" w:hAnsi="Arial" w:cs="Arial"/>
          <w:color w:val="000000"/>
          <w:kern w:val="0"/>
          <w:lang w:val="es-CO" w:eastAsia="es-ES_tradnl"/>
          <w14:ligatures w14:val="none"/>
        </w:rPr>
        <w:t> puede hacer la Comisaría: funciones administrativas y jurisdiccionales.</w:t>
      </w:r>
      <w:r w:rsidRPr="00EF4D4C">
        <w:rPr>
          <w:rFonts w:ascii="Arial" w:eastAsia="Times New Roman" w:hAnsi="Arial" w:cs="Arial"/>
          <w:color w:val="000000"/>
          <w:kern w:val="0"/>
          <w:lang w:eastAsia="es-ES_tradnl"/>
          <w14:ligatures w14:val="none"/>
        </w:rPr>
        <w:t> </w:t>
      </w:r>
    </w:p>
    <w:p w14:paraId="3FA9C71D" w14:textId="77777777" w:rsidR="00DA03DA" w:rsidRPr="00EF4D4C" w:rsidRDefault="00DA03DA" w:rsidP="00486CEF">
      <w:pPr>
        <w:spacing w:line="276" w:lineRule="auto"/>
        <w:jc w:val="both"/>
        <w:textAlignment w:val="baseline"/>
        <w:rPr>
          <w:rFonts w:ascii="Arial" w:eastAsia="Times New Roman" w:hAnsi="Arial" w:cs="Arial"/>
          <w:b/>
          <w:bCs/>
          <w:color w:val="000000"/>
          <w:kern w:val="0"/>
          <w:lang w:val="es-CO" w:eastAsia="es-ES_tradnl"/>
          <w14:ligatures w14:val="none"/>
        </w:rPr>
      </w:pPr>
    </w:p>
    <w:p w14:paraId="6F488BE8" w14:textId="77777777" w:rsidR="00EE3142" w:rsidRPr="00EF4D4C" w:rsidRDefault="5D793B34" w:rsidP="00486CEF">
      <w:pPr>
        <w:spacing w:line="276" w:lineRule="auto"/>
        <w:jc w:val="both"/>
        <w:textAlignment w:val="baseline"/>
        <w:rPr>
          <w:rFonts w:ascii="Arial" w:hAnsi="Arial" w:cs="Arial"/>
        </w:rPr>
      </w:pPr>
      <w:r w:rsidRPr="00EF4D4C">
        <w:rPr>
          <w:rFonts w:ascii="Arial" w:eastAsia="Times New Roman" w:hAnsi="Arial" w:cs="Arial"/>
          <w:b/>
          <w:bCs/>
          <w:color w:val="000000"/>
          <w:kern w:val="0"/>
          <w:lang w:val="es-CO" w:eastAsia="es-ES"/>
          <w14:ligatures w14:val="none"/>
        </w:rPr>
        <w:t>Aplicaciones prácticas</w:t>
      </w:r>
      <w:r w:rsidRPr="00EF4D4C">
        <w:rPr>
          <w:rFonts w:ascii="Arial" w:eastAsia="Times New Roman" w:hAnsi="Arial" w:cs="Arial"/>
          <w:color w:val="000000"/>
          <w:kern w:val="0"/>
          <w:lang w:eastAsia="es-ES"/>
          <w14:ligatures w14:val="none"/>
        </w:rPr>
        <w:t> </w:t>
      </w:r>
    </w:p>
    <w:p w14:paraId="44667FD4" w14:textId="16144950" w:rsidR="5368BBF5" w:rsidRPr="00EF4D4C" w:rsidRDefault="5368BBF5" w:rsidP="00486CEF">
      <w:pPr>
        <w:spacing w:line="276" w:lineRule="auto"/>
        <w:jc w:val="both"/>
        <w:rPr>
          <w:rFonts w:ascii="Arial" w:eastAsia="Times New Roman" w:hAnsi="Arial" w:cs="Arial"/>
          <w:color w:val="000000" w:themeColor="text1"/>
          <w:lang w:eastAsia="es-ES"/>
        </w:rPr>
      </w:pPr>
    </w:p>
    <w:p w14:paraId="4D2C4475" w14:textId="7C2A6991" w:rsidR="00EE3142" w:rsidRPr="00EF4D4C" w:rsidRDefault="5D793B34" w:rsidP="00C532E8">
      <w:pPr>
        <w:pStyle w:val="Prrafodelista"/>
        <w:numPr>
          <w:ilvl w:val="0"/>
          <w:numId w:val="24"/>
        </w:numPr>
        <w:spacing w:line="276" w:lineRule="auto"/>
        <w:jc w:val="both"/>
        <w:rPr>
          <w:rFonts w:ascii="Arial" w:eastAsia="Times New Roman" w:hAnsi="Arial" w:cs="Arial"/>
          <w:color w:val="000000" w:themeColor="text1"/>
          <w:lang w:eastAsia="es-ES"/>
        </w:rPr>
      </w:pPr>
      <w:r w:rsidRPr="00EF4D4C">
        <w:rPr>
          <w:rFonts w:ascii="Arial" w:eastAsia="Times New Roman" w:hAnsi="Arial" w:cs="Arial"/>
          <w:b/>
          <w:bCs/>
          <w:color w:val="000000"/>
          <w:kern w:val="0"/>
          <w:lang w:val="es-CO" w:eastAsia="es-ES"/>
          <w14:ligatures w14:val="none"/>
        </w:rPr>
        <w:t>Administrativa:</w:t>
      </w:r>
      <w:r w:rsidRPr="00EF4D4C">
        <w:rPr>
          <w:rFonts w:ascii="Arial" w:eastAsia="Times New Roman" w:hAnsi="Arial" w:cs="Arial"/>
          <w:color w:val="000000"/>
          <w:kern w:val="0"/>
          <w:lang w:val="es-CO" w:eastAsia="es-ES"/>
          <w14:ligatures w14:val="none"/>
        </w:rPr>
        <w:t> </w:t>
      </w:r>
      <w:r w:rsidRPr="00EF4D4C">
        <w:rPr>
          <w:rFonts w:ascii="Arial" w:eastAsia="Times New Roman" w:hAnsi="Arial" w:cs="Arial"/>
          <w:color w:val="000000" w:themeColor="text1"/>
          <w:lang w:val="es-CO" w:eastAsia="es-ES"/>
        </w:rPr>
        <w:t>orientación psicosocial y conciliaciones extrajudiciales (en las materias permitidas)</w:t>
      </w:r>
      <w:r w:rsidR="05AE5F2D" w:rsidRPr="00EF4D4C">
        <w:rPr>
          <w:rFonts w:ascii="Arial" w:eastAsia="Times New Roman" w:hAnsi="Arial" w:cs="Arial"/>
          <w:color w:val="000000" w:themeColor="text1"/>
          <w:lang w:val="es-CO" w:eastAsia="es-ES"/>
        </w:rPr>
        <w:t>, Procesos Administrativos de Restablecimiento de Derechos de NNA</w:t>
      </w:r>
      <w:r w:rsidR="6A208311" w:rsidRPr="00EF4D4C">
        <w:rPr>
          <w:rFonts w:ascii="Arial" w:eastAsia="Times New Roman" w:hAnsi="Arial" w:cs="Arial"/>
          <w:color w:val="000000" w:themeColor="text1"/>
          <w:lang w:val="es-CO" w:eastAsia="es-ES"/>
        </w:rPr>
        <w:t xml:space="preserve"> </w:t>
      </w:r>
      <w:r w:rsidR="520C6A00" w:rsidRPr="00EF4D4C">
        <w:rPr>
          <w:rFonts w:ascii="Arial" w:eastAsia="Times New Roman" w:hAnsi="Arial" w:cs="Arial"/>
          <w:color w:val="000000" w:themeColor="text1"/>
          <w:lang w:val="es-CO" w:eastAsia="es-ES"/>
        </w:rPr>
        <w:t>(</w:t>
      </w:r>
      <w:r w:rsidR="0D179475" w:rsidRPr="00EF4D4C">
        <w:rPr>
          <w:rFonts w:ascii="Arial" w:eastAsia="Times New Roman" w:hAnsi="Arial" w:cs="Arial"/>
          <w:color w:val="000000" w:themeColor="text1"/>
          <w:lang w:eastAsia="es-ES"/>
        </w:rPr>
        <w:t>cua</w:t>
      </w:r>
      <w:r w:rsidR="18720909" w:rsidRPr="00EF4D4C">
        <w:rPr>
          <w:rFonts w:ascii="Arial" w:eastAsia="Times New Roman" w:hAnsi="Arial" w:cs="Arial"/>
          <w:color w:val="000000" w:themeColor="text1"/>
          <w:lang w:eastAsia="es-ES"/>
        </w:rPr>
        <w:t>ndo</w:t>
      </w:r>
      <w:r w:rsidR="682E79FF" w:rsidRPr="00EF4D4C">
        <w:rPr>
          <w:rFonts w:ascii="Arial" w:eastAsia="Times New Roman" w:hAnsi="Arial" w:cs="Arial"/>
          <w:color w:val="000000" w:themeColor="text1"/>
          <w:lang w:eastAsia="es-ES"/>
        </w:rPr>
        <w:t xml:space="preserve"> leg</w:t>
      </w:r>
      <w:r w:rsidR="4918F0C3" w:rsidRPr="00EF4D4C">
        <w:rPr>
          <w:rFonts w:ascii="Arial" w:eastAsia="Times New Roman" w:hAnsi="Arial" w:cs="Arial"/>
          <w:color w:val="000000" w:themeColor="text1"/>
          <w:lang w:eastAsia="es-ES"/>
        </w:rPr>
        <w:t>a</w:t>
      </w:r>
      <w:r w:rsidR="682E79FF" w:rsidRPr="00EF4D4C">
        <w:rPr>
          <w:rFonts w:ascii="Arial" w:eastAsia="Times New Roman" w:hAnsi="Arial" w:cs="Arial"/>
          <w:color w:val="000000" w:themeColor="text1"/>
          <w:lang w:eastAsia="es-ES"/>
        </w:rPr>
        <w:t>lmente</w:t>
      </w:r>
      <w:r w:rsidR="18720909" w:rsidRPr="00EF4D4C">
        <w:rPr>
          <w:rFonts w:ascii="Arial" w:eastAsia="Times New Roman" w:hAnsi="Arial" w:cs="Arial"/>
          <w:color w:val="000000" w:themeColor="text1"/>
          <w:lang w:eastAsia="es-ES"/>
        </w:rPr>
        <w:t xml:space="preserve"> proceda</w:t>
      </w:r>
      <w:r w:rsidR="11E4C9A7" w:rsidRPr="00EF4D4C">
        <w:rPr>
          <w:rFonts w:ascii="Arial" w:eastAsia="Times New Roman" w:hAnsi="Arial" w:cs="Arial"/>
          <w:color w:val="000000" w:themeColor="text1"/>
          <w:lang w:eastAsia="es-ES"/>
        </w:rPr>
        <w:t xml:space="preserve"> en virtud de la competencia subsidiaria</w:t>
      </w:r>
      <w:r w:rsidR="18720909" w:rsidRPr="00EF4D4C">
        <w:rPr>
          <w:rFonts w:ascii="Arial" w:eastAsia="Times New Roman" w:hAnsi="Arial" w:cs="Arial"/>
          <w:color w:val="000000" w:themeColor="text1"/>
          <w:lang w:eastAsia="es-ES"/>
        </w:rPr>
        <w:t>).</w:t>
      </w:r>
    </w:p>
    <w:p w14:paraId="3434A844" w14:textId="17567AB1" w:rsidR="5368BBF5" w:rsidRPr="00EF4D4C" w:rsidRDefault="5D793B34" w:rsidP="002E673A">
      <w:pPr>
        <w:pStyle w:val="Prrafodelista"/>
        <w:numPr>
          <w:ilvl w:val="0"/>
          <w:numId w:val="24"/>
        </w:numPr>
        <w:spacing w:line="276" w:lineRule="auto"/>
        <w:jc w:val="both"/>
        <w:textAlignment w:val="baseline"/>
        <w:rPr>
          <w:rFonts w:ascii="Arial" w:eastAsia="Times New Roman" w:hAnsi="Arial" w:cs="Arial"/>
          <w:kern w:val="0"/>
          <w:lang w:eastAsia="es-ES"/>
          <w14:ligatures w14:val="none"/>
        </w:rPr>
      </w:pPr>
      <w:r w:rsidRPr="00EF4D4C">
        <w:rPr>
          <w:rFonts w:ascii="Arial" w:eastAsia="Times New Roman" w:hAnsi="Arial" w:cs="Arial"/>
          <w:b/>
          <w:bCs/>
          <w:color w:val="000000"/>
          <w:kern w:val="0"/>
          <w:lang w:val="es-CO" w:eastAsia="es-ES"/>
          <w14:ligatures w14:val="none"/>
        </w:rPr>
        <w:t>Jurisdiccional:</w:t>
      </w:r>
      <w:r w:rsidRPr="00EF4D4C">
        <w:rPr>
          <w:rFonts w:ascii="Arial" w:eastAsia="Times New Roman" w:hAnsi="Arial" w:cs="Arial"/>
          <w:color w:val="000000"/>
          <w:kern w:val="0"/>
          <w:lang w:val="es-CO" w:eastAsia="es-ES"/>
          <w14:ligatures w14:val="none"/>
        </w:rPr>
        <w:t> adopción de medidas de protección</w:t>
      </w:r>
      <w:r w:rsidR="2B1C0932" w:rsidRPr="00EF4D4C">
        <w:rPr>
          <w:rFonts w:ascii="Arial" w:eastAsia="Times New Roman" w:hAnsi="Arial" w:cs="Arial"/>
          <w:color w:val="000000" w:themeColor="text1"/>
          <w:lang w:val="es-CO" w:eastAsia="es-ES"/>
        </w:rPr>
        <w:t xml:space="preserve">, valoración de riesgo, remisión a servicios, seguimiento de medidas (por </w:t>
      </w:r>
      <w:r w:rsidR="4DD6EEDD" w:rsidRPr="00EF4D4C">
        <w:rPr>
          <w:rFonts w:ascii="Arial" w:eastAsia="Times New Roman" w:hAnsi="Arial" w:cs="Arial"/>
          <w:color w:val="000000" w:themeColor="text1"/>
          <w:lang w:val="es-CO" w:eastAsia="es-ES"/>
        </w:rPr>
        <w:t xml:space="preserve">encontrarse dentro de la ruta de atención), </w:t>
      </w:r>
      <w:r w:rsidRPr="00EF4D4C">
        <w:rPr>
          <w:rFonts w:ascii="Arial" w:eastAsia="Times New Roman" w:hAnsi="Arial" w:cs="Arial"/>
          <w:color w:val="000000" w:themeColor="text1"/>
          <w:lang w:val="es-CO" w:eastAsia="es-ES"/>
        </w:rPr>
        <w:t>fijación provisional de alimentos (cuando legalmente proceda).</w:t>
      </w:r>
      <w:r w:rsidRPr="00EF4D4C">
        <w:rPr>
          <w:rFonts w:ascii="Arial" w:eastAsia="Times New Roman" w:hAnsi="Arial" w:cs="Arial"/>
          <w:color w:val="000000" w:themeColor="text1"/>
          <w:lang w:eastAsia="es-ES"/>
        </w:rPr>
        <w:t> </w:t>
      </w:r>
    </w:p>
    <w:p w14:paraId="7DE90B2A" w14:textId="77777777" w:rsidR="002E673A" w:rsidRPr="00EF4D4C" w:rsidRDefault="002E673A" w:rsidP="002E673A">
      <w:pPr>
        <w:pStyle w:val="Prrafodelista"/>
        <w:spacing w:line="276" w:lineRule="auto"/>
        <w:jc w:val="both"/>
        <w:textAlignment w:val="baseline"/>
        <w:rPr>
          <w:rFonts w:ascii="Arial" w:eastAsia="Times New Roman" w:hAnsi="Arial" w:cs="Arial"/>
          <w:kern w:val="0"/>
          <w:lang w:eastAsia="es-ES"/>
          <w14:ligatures w14:val="none"/>
        </w:rPr>
      </w:pPr>
    </w:p>
    <w:p w14:paraId="79EB23F5" w14:textId="2B95F265" w:rsidR="00491B1D" w:rsidRPr="00EF4D4C" w:rsidRDefault="5D793B34" w:rsidP="00486CEF">
      <w:pPr>
        <w:spacing w:line="276" w:lineRule="auto"/>
        <w:jc w:val="both"/>
        <w:textAlignment w:val="baseline"/>
        <w:rPr>
          <w:rFonts w:ascii="Arial" w:eastAsia="Times New Roman" w:hAnsi="Arial" w:cs="Arial"/>
          <w:color w:val="000000"/>
          <w:kern w:val="0"/>
          <w:lang w:eastAsia="es-ES"/>
          <w14:ligatures w14:val="none"/>
        </w:rPr>
      </w:pPr>
      <w:r w:rsidRPr="00EF4D4C">
        <w:rPr>
          <w:rFonts w:ascii="Arial" w:eastAsia="Times New Roman" w:hAnsi="Arial" w:cs="Arial"/>
          <w:b/>
          <w:bCs/>
          <w:color w:val="000000"/>
          <w:kern w:val="0"/>
          <w:lang w:val="es-CO" w:eastAsia="es-ES"/>
          <w14:ligatures w14:val="none"/>
        </w:rPr>
        <w:t>Jurisprudencia integrada y límites</w:t>
      </w:r>
      <w:r w:rsidRPr="00EF4D4C">
        <w:rPr>
          <w:rFonts w:ascii="Arial" w:eastAsia="Times New Roman" w:hAnsi="Arial" w:cs="Arial"/>
          <w:color w:val="000000"/>
          <w:kern w:val="0"/>
          <w:lang w:eastAsia="es-ES"/>
          <w14:ligatures w14:val="none"/>
        </w:rPr>
        <w:t> </w:t>
      </w:r>
    </w:p>
    <w:p w14:paraId="5861C474" w14:textId="63950031" w:rsidR="00DA03DA" w:rsidRPr="00EF4D4C" w:rsidRDefault="00491B1D" w:rsidP="002E673A">
      <w:pPr>
        <w:spacing w:line="276" w:lineRule="auto"/>
        <w:jc w:val="center"/>
        <w:textAlignment w:val="baseline"/>
        <w:rPr>
          <w:rFonts w:ascii="Arial" w:eastAsia="Times New Roman" w:hAnsi="Arial" w:cs="Arial"/>
          <w:color w:val="000000"/>
          <w:kern w:val="0"/>
          <w:lang w:eastAsia="es-ES"/>
          <w14:ligatures w14:val="none"/>
        </w:rPr>
      </w:pPr>
      <w:r w:rsidRPr="00EF4D4C">
        <w:rPr>
          <w:rFonts w:ascii="Arial" w:eastAsia="Times New Roman" w:hAnsi="Arial" w:cs="Arial"/>
          <w:noProof/>
          <w:color w:val="000000"/>
          <w:kern w:val="0"/>
          <w:lang w:eastAsia="es-ES"/>
          <w14:ligatures w14:val="none"/>
        </w:rPr>
        <w:drawing>
          <wp:inline distT="0" distB="0" distL="0" distR="0" wp14:anchorId="7CB27ECF" wp14:editId="44DE4DF8">
            <wp:extent cx="4702761" cy="2614863"/>
            <wp:effectExtent l="0" t="0" r="3175" b="0"/>
            <wp:docPr id="732380936"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6527" r="2824" b="57452"/>
                    <a:stretch>
                      <a:fillRect/>
                    </a:stretch>
                  </pic:blipFill>
                  <pic:spPr bwMode="auto">
                    <a:xfrm>
                      <a:off x="0" y="0"/>
                      <a:ext cx="4783620" cy="2659823"/>
                    </a:xfrm>
                    <a:prstGeom prst="rect">
                      <a:avLst/>
                    </a:prstGeom>
                    <a:noFill/>
                    <a:ln>
                      <a:noFill/>
                    </a:ln>
                    <a:extLst>
                      <a:ext uri="{53640926-AAD7-44D8-BBD7-CCE9431645EC}">
                        <a14:shadowObscured xmlns:a14="http://schemas.microsoft.com/office/drawing/2010/main"/>
                      </a:ext>
                    </a:extLst>
                  </pic:spPr>
                </pic:pic>
              </a:graphicData>
            </a:graphic>
          </wp:inline>
        </w:drawing>
      </w:r>
    </w:p>
    <w:p w14:paraId="33D7BB6B" w14:textId="77777777" w:rsidR="00BF2C2F" w:rsidRPr="00EF4D4C" w:rsidRDefault="00BF2C2F" w:rsidP="002E673A">
      <w:pPr>
        <w:spacing w:line="276" w:lineRule="auto"/>
        <w:jc w:val="center"/>
        <w:textAlignment w:val="baseline"/>
        <w:rPr>
          <w:rFonts w:ascii="Arial" w:eastAsia="Times New Roman" w:hAnsi="Arial" w:cs="Arial"/>
          <w:color w:val="000000"/>
          <w:kern w:val="0"/>
          <w:lang w:eastAsia="es-ES"/>
          <w14:ligatures w14:val="none"/>
        </w:rPr>
      </w:pPr>
    </w:p>
    <w:p w14:paraId="39BA8B41" w14:textId="77777777" w:rsidR="00EE3142" w:rsidRPr="00EF4D4C" w:rsidRDefault="00EE3142" w:rsidP="00486CEF">
      <w:pPr>
        <w:spacing w:line="276" w:lineRule="auto"/>
        <w:jc w:val="both"/>
        <w:textAlignment w:val="baseline"/>
        <w:rPr>
          <w:rFonts w:ascii="Arial" w:eastAsia="Times New Roman" w:hAnsi="Arial" w:cs="Arial"/>
          <w:kern w:val="0"/>
          <w:lang w:eastAsia="es-ES_tradnl"/>
          <w14:ligatures w14:val="none"/>
        </w:rPr>
      </w:pPr>
      <w:r w:rsidRPr="00EF4D4C">
        <w:rPr>
          <w:rFonts w:ascii="Arial" w:eastAsia="Times New Roman" w:hAnsi="Arial" w:cs="Arial"/>
          <w:b/>
          <w:bCs/>
          <w:color w:val="000000"/>
          <w:kern w:val="0"/>
          <w:lang w:val="es-CO" w:eastAsia="es-ES_tradnl"/>
          <w14:ligatures w14:val="none"/>
        </w:rPr>
        <w:t>Regla práctica:</w:t>
      </w:r>
      <w:r w:rsidRPr="00EF4D4C">
        <w:rPr>
          <w:rFonts w:ascii="Arial" w:eastAsia="Times New Roman" w:hAnsi="Arial" w:cs="Arial"/>
          <w:color w:val="000000"/>
          <w:kern w:val="0"/>
          <w:lang w:val="es-CO" w:eastAsia="es-ES_tradnl"/>
          <w14:ligatures w14:val="none"/>
        </w:rPr>
        <w:t> identifica la naturaleza del acto requerido (protección inmediata vs. asunto que requiere jurisdicción plena). Si es protección urgente, la comisaría actúa; si demanda competencia de juzgado o materia civil, se deriva.</w:t>
      </w:r>
      <w:r w:rsidRPr="00EF4D4C">
        <w:rPr>
          <w:rFonts w:ascii="Arial" w:eastAsia="Times New Roman" w:hAnsi="Arial" w:cs="Arial"/>
          <w:color w:val="000000"/>
          <w:kern w:val="0"/>
          <w:lang w:eastAsia="es-ES_tradnl"/>
          <w14:ligatures w14:val="none"/>
        </w:rPr>
        <w:t> </w:t>
      </w:r>
    </w:p>
    <w:p w14:paraId="447D12C8" w14:textId="77777777" w:rsidR="00EE3142" w:rsidRPr="00EF4D4C" w:rsidRDefault="00EE3142" w:rsidP="00486CEF">
      <w:pPr>
        <w:spacing w:line="276" w:lineRule="auto"/>
        <w:jc w:val="both"/>
        <w:textAlignment w:val="baseline"/>
        <w:rPr>
          <w:rFonts w:ascii="Arial" w:eastAsia="Times New Roman" w:hAnsi="Arial" w:cs="Arial"/>
          <w:kern w:val="0"/>
          <w:lang w:eastAsia="es-ES_tradnl"/>
          <w14:ligatures w14:val="none"/>
        </w:rPr>
      </w:pPr>
      <w:r w:rsidRPr="00EF4D4C">
        <w:rPr>
          <w:rFonts w:ascii="Arial" w:eastAsia="Times New Roman" w:hAnsi="Arial" w:cs="Arial"/>
          <w:color w:val="000000"/>
          <w:kern w:val="0"/>
          <w:lang w:eastAsia="es-ES_tradnl"/>
          <w14:ligatures w14:val="none"/>
        </w:rPr>
        <w:t> </w:t>
      </w:r>
    </w:p>
    <w:p w14:paraId="0D465827" w14:textId="77777777" w:rsidR="00EE3142" w:rsidRPr="00EF4D4C" w:rsidRDefault="00EE3142" w:rsidP="00486CEF">
      <w:pPr>
        <w:spacing w:line="276" w:lineRule="auto"/>
        <w:jc w:val="both"/>
        <w:textAlignment w:val="baseline"/>
        <w:rPr>
          <w:rFonts w:ascii="Arial" w:eastAsia="Times New Roman" w:hAnsi="Arial" w:cs="Arial"/>
          <w:kern w:val="0"/>
          <w:lang w:eastAsia="es-ES_tradnl"/>
          <w14:ligatures w14:val="none"/>
        </w:rPr>
      </w:pPr>
      <w:r w:rsidRPr="00EF4D4C">
        <w:rPr>
          <w:rFonts w:ascii="Arial" w:eastAsia="Times New Roman" w:hAnsi="Arial" w:cs="Arial"/>
          <w:b/>
          <w:bCs/>
          <w:color w:val="000000"/>
          <w:kern w:val="0"/>
          <w:lang w:val="es-CO" w:eastAsia="es-ES_tradnl"/>
          <w14:ligatures w14:val="none"/>
        </w:rPr>
        <w:lastRenderedPageBreak/>
        <w:t>3. FACTOR SUBSIDIARIO (Parágrafo 3º, art. 5 Ley 2126; art. 98 Ley 1098)</w:t>
      </w:r>
      <w:r w:rsidRPr="00EF4D4C">
        <w:rPr>
          <w:rFonts w:ascii="Arial" w:eastAsia="Times New Roman" w:hAnsi="Arial" w:cs="Arial"/>
          <w:color w:val="000000"/>
          <w:kern w:val="0"/>
          <w:lang w:eastAsia="es-ES_tradnl"/>
          <w14:ligatures w14:val="none"/>
        </w:rPr>
        <w:t> </w:t>
      </w:r>
    </w:p>
    <w:p w14:paraId="5EB08D4F" w14:textId="77777777" w:rsidR="00EE3142" w:rsidRPr="00EF4D4C" w:rsidRDefault="00EE3142" w:rsidP="00486CEF">
      <w:pPr>
        <w:spacing w:line="276" w:lineRule="auto"/>
        <w:jc w:val="both"/>
        <w:textAlignment w:val="baseline"/>
        <w:rPr>
          <w:rFonts w:ascii="Arial" w:eastAsia="Times New Roman" w:hAnsi="Arial" w:cs="Arial"/>
          <w:kern w:val="0"/>
          <w:lang w:eastAsia="es-ES_tradnl"/>
          <w14:ligatures w14:val="none"/>
        </w:rPr>
      </w:pPr>
      <w:r w:rsidRPr="00EF4D4C">
        <w:rPr>
          <w:rFonts w:ascii="Arial" w:eastAsia="Times New Roman" w:hAnsi="Arial" w:cs="Arial"/>
          <w:color w:val="000000"/>
          <w:kern w:val="0"/>
          <w:lang w:val="es-CO" w:eastAsia="es-ES_tradnl"/>
          <w14:ligatures w14:val="none"/>
        </w:rPr>
        <w:t>Excepcional: la subsidiariedad solo opera cuando no existe defensor de familia designado en el territorio. No es una regla general ni automática para todas las materias.</w:t>
      </w:r>
      <w:r w:rsidRPr="00EF4D4C">
        <w:rPr>
          <w:rFonts w:ascii="Arial" w:eastAsia="Times New Roman" w:hAnsi="Arial" w:cs="Arial"/>
          <w:color w:val="000000"/>
          <w:kern w:val="0"/>
          <w:lang w:eastAsia="es-ES_tradnl"/>
          <w14:ligatures w14:val="none"/>
        </w:rPr>
        <w:t> </w:t>
      </w:r>
    </w:p>
    <w:p w14:paraId="1784745C" w14:textId="77777777" w:rsidR="00D44E07" w:rsidRPr="00EF4D4C" w:rsidRDefault="00D44E07" w:rsidP="00486CEF">
      <w:pPr>
        <w:spacing w:line="276" w:lineRule="auto"/>
        <w:jc w:val="both"/>
        <w:textAlignment w:val="baseline"/>
        <w:rPr>
          <w:rFonts w:ascii="Arial" w:eastAsia="Times New Roman" w:hAnsi="Arial" w:cs="Arial"/>
          <w:b/>
          <w:bCs/>
          <w:color w:val="000000"/>
          <w:kern w:val="0"/>
          <w:lang w:val="es-CO" w:eastAsia="es-ES_tradnl"/>
          <w14:ligatures w14:val="none"/>
        </w:rPr>
      </w:pPr>
    </w:p>
    <w:p w14:paraId="3EEE2FBC" w14:textId="4875610E" w:rsidR="00D44E07" w:rsidRPr="00EF4D4C" w:rsidRDefault="00641B00" w:rsidP="00486CEF">
      <w:pPr>
        <w:spacing w:line="276" w:lineRule="auto"/>
        <w:jc w:val="center"/>
        <w:textAlignment w:val="baseline"/>
        <w:rPr>
          <w:rFonts w:ascii="Arial" w:eastAsia="Times New Roman" w:hAnsi="Arial" w:cs="Arial"/>
          <w:b/>
          <w:bCs/>
          <w:color w:val="000000"/>
          <w:kern w:val="0"/>
          <w:lang w:val="es-CO" w:eastAsia="es-ES_tradnl"/>
          <w14:ligatures w14:val="none"/>
        </w:rPr>
      </w:pPr>
      <w:r w:rsidRPr="00EF4D4C">
        <w:rPr>
          <w:rFonts w:ascii="Arial" w:eastAsia="Times New Roman" w:hAnsi="Arial" w:cs="Arial"/>
          <w:b/>
          <w:bCs/>
          <w:noProof/>
          <w:color w:val="000000"/>
          <w:kern w:val="0"/>
          <w:lang w:val="es-CO" w:eastAsia="es-ES_tradnl"/>
          <w14:ligatures w14:val="none"/>
        </w:rPr>
        <w:drawing>
          <wp:inline distT="0" distB="0" distL="0" distR="0" wp14:anchorId="0791EC2A" wp14:editId="7B6887E0">
            <wp:extent cx="5474970" cy="5474970"/>
            <wp:effectExtent l="0" t="0" r="0" b="0"/>
            <wp:docPr id="1709096607"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09652" cy="5509652"/>
                    </a:xfrm>
                    <a:prstGeom prst="rect">
                      <a:avLst/>
                    </a:prstGeom>
                    <a:noFill/>
                  </pic:spPr>
                </pic:pic>
              </a:graphicData>
            </a:graphic>
          </wp:inline>
        </w:drawing>
      </w:r>
    </w:p>
    <w:p w14:paraId="56286E59" w14:textId="77777777" w:rsidR="00EE3142" w:rsidRPr="00EF4D4C" w:rsidRDefault="00EE3142" w:rsidP="00486CEF">
      <w:pPr>
        <w:spacing w:line="276" w:lineRule="auto"/>
        <w:jc w:val="both"/>
        <w:textAlignment w:val="baseline"/>
        <w:rPr>
          <w:rFonts w:ascii="Arial" w:eastAsia="Times New Roman" w:hAnsi="Arial" w:cs="Arial"/>
          <w:kern w:val="0"/>
          <w:lang w:eastAsia="es-ES_tradnl"/>
          <w14:ligatures w14:val="none"/>
        </w:rPr>
      </w:pPr>
      <w:r w:rsidRPr="00EF4D4C">
        <w:rPr>
          <w:rFonts w:ascii="Arial" w:eastAsia="Times New Roman" w:hAnsi="Arial" w:cs="Arial"/>
          <w:b/>
          <w:bCs/>
          <w:color w:val="000000"/>
          <w:kern w:val="0"/>
          <w:lang w:val="es-CO" w:eastAsia="es-ES_tradnl"/>
          <w14:ligatures w14:val="none"/>
        </w:rPr>
        <w:t>Jurisprudencia que limita o precisa la subsidiariedad.</w:t>
      </w:r>
      <w:r w:rsidRPr="00EF4D4C">
        <w:rPr>
          <w:rFonts w:ascii="Arial" w:eastAsia="Times New Roman" w:hAnsi="Arial" w:cs="Arial"/>
          <w:color w:val="000000"/>
          <w:kern w:val="0"/>
          <w:lang w:eastAsia="es-ES_tradnl"/>
          <w14:ligatures w14:val="none"/>
        </w:rPr>
        <w:t> </w:t>
      </w:r>
    </w:p>
    <w:p w14:paraId="681E2891" w14:textId="691BC68F" w:rsidR="00EE3142" w:rsidRPr="00EF4D4C" w:rsidRDefault="5D793B34" w:rsidP="00486CEF">
      <w:pPr>
        <w:pStyle w:val="Prrafodelista"/>
        <w:numPr>
          <w:ilvl w:val="0"/>
          <w:numId w:val="29"/>
        </w:numPr>
        <w:spacing w:line="276" w:lineRule="auto"/>
        <w:jc w:val="both"/>
        <w:textAlignment w:val="baseline"/>
        <w:rPr>
          <w:rFonts w:ascii="Arial" w:eastAsia="Times New Roman" w:hAnsi="Arial" w:cs="Arial"/>
          <w:kern w:val="0"/>
          <w:lang w:eastAsia="es-ES"/>
          <w14:ligatures w14:val="none"/>
        </w:rPr>
      </w:pPr>
      <w:r w:rsidRPr="00EF4D4C">
        <w:rPr>
          <w:rFonts w:ascii="Arial" w:eastAsia="Times New Roman" w:hAnsi="Arial" w:cs="Arial"/>
          <w:b/>
          <w:bCs/>
          <w:color w:val="000000"/>
          <w:kern w:val="0"/>
          <w:lang w:val="es-CO" w:eastAsia="es-ES"/>
          <w14:ligatures w14:val="none"/>
        </w:rPr>
        <w:t>ICBF – Oficina Jurídica (Concepto 26 de 2021)</w:t>
      </w:r>
      <w:r w:rsidRPr="00EF4D4C">
        <w:rPr>
          <w:rFonts w:ascii="Arial" w:eastAsia="Times New Roman" w:hAnsi="Arial" w:cs="Arial"/>
          <w:color w:val="000000"/>
          <w:kern w:val="0"/>
          <w:lang w:val="es-CO" w:eastAsia="es-ES"/>
          <w14:ligatures w14:val="none"/>
        </w:rPr>
        <w:t>: concluye que </w:t>
      </w:r>
      <w:r w:rsidRPr="00EF4D4C">
        <w:rPr>
          <w:rFonts w:ascii="Arial" w:eastAsia="Times New Roman" w:hAnsi="Arial" w:cs="Arial"/>
          <w:b/>
          <w:bCs/>
          <w:color w:val="000000"/>
          <w:kern w:val="0"/>
          <w:lang w:val="es-CO" w:eastAsia="es-ES"/>
          <w14:ligatures w14:val="none"/>
        </w:rPr>
        <w:t xml:space="preserve">la subsidiariedad aplica sólo a </w:t>
      </w:r>
      <w:r w:rsidR="79B4F496" w:rsidRPr="00EF4D4C">
        <w:rPr>
          <w:rFonts w:ascii="Arial" w:eastAsia="Times New Roman" w:hAnsi="Arial" w:cs="Arial"/>
          <w:b/>
          <w:bCs/>
          <w:color w:val="000000" w:themeColor="text1"/>
          <w:lang w:val="es-CO" w:eastAsia="es-ES"/>
        </w:rPr>
        <w:t>NNA, no</w:t>
      </w:r>
      <w:r w:rsidRPr="00EF4D4C">
        <w:rPr>
          <w:rFonts w:ascii="Arial" w:eastAsia="Times New Roman" w:hAnsi="Arial" w:cs="Arial"/>
          <w:b/>
          <w:bCs/>
          <w:color w:val="000000" w:themeColor="text1"/>
          <w:lang w:val="es-CO" w:eastAsia="es-ES"/>
        </w:rPr>
        <w:t xml:space="preserve"> procede para adultos mayores</w:t>
      </w:r>
      <w:r w:rsidRPr="00EF4D4C">
        <w:rPr>
          <w:rFonts w:ascii="Arial" w:eastAsia="Times New Roman" w:hAnsi="Arial" w:cs="Arial"/>
          <w:color w:val="000000" w:themeColor="text1"/>
          <w:lang w:val="es-CO" w:eastAsia="es-ES"/>
        </w:rPr>
        <w:t>. Esto es crucial: varios tribunales han aplicado este criterio para negar la competenci</w:t>
      </w:r>
      <w:r w:rsidR="438FA366" w:rsidRPr="00EF4D4C">
        <w:rPr>
          <w:rFonts w:ascii="Arial" w:eastAsia="Times New Roman" w:hAnsi="Arial" w:cs="Arial"/>
          <w:color w:val="000000" w:themeColor="text1"/>
          <w:lang w:val="es-CO" w:eastAsia="es-ES"/>
        </w:rPr>
        <w:t>a</w:t>
      </w:r>
      <w:r w:rsidRPr="00EF4D4C">
        <w:rPr>
          <w:rFonts w:ascii="Arial" w:eastAsia="Times New Roman" w:hAnsi="Arial" w:cs="Arial"/>
          <w:color w:val="000000" w:themeColor="text1"/>
          <w:lang w:val="es-CO" w:eastAsia="es-ES"/>
        </w:rPr>
        <w:t xml:space="preserve"> en asuntos de adultos mayores. </w:t>
      </w:r>
      <w:r w:rsidRPr="00EF4D4C">
        <w:rPr>
          <w:rFonts w:ascii="Arial" w:eastAsia="Times New Roman" w:hAnsi="Arial" w:cs="Arial"/>
          <w:color w:val="000000" w:themeColor="text1"/>
          <w:lang w:eastAsia="es-ES"/>
        </w:rPr>
        <w:t> </w:t>
      </w:r>
    </w:p>
    <w:p w14:paraId="68073384" w14:textId="77777777" w:rsidR="00DA03DA" w:rsidRPr="00EF4D4C" w:rsidRDefault="00DA03DA" w:rsidP="00486CEF">
      <w:pPr>
        <w:spacing w:line="276" w:lineRule="auto"/>
        <w:ind w:left="360"/>
        <w:jc w:val="both"/>
        <w:textAlignment w:val="baseline"/>
        <w:rPr>
          <w:rFonts w:ascii="Arial" w:eastAsia="Times New Roman" w:hAnsi="Arial" w:cs="Arial"/>
          <w:kern w:val="0"/>
          <w:lang w:eastAsia="es-ES_tradnl"/>
          <w14:ligatures w14:val="none"/>
        </w:rPr>
      </w:pPr>
    </w:p>
    <w:p w14:paraId="77503DEB" w14:textId="77777777" w:rsidR="00EE3142" w:rsidRPr="00EF4D4C" w:rsidRDefault="00EE3142" w:rsidP="00486CEF">
      <w:pPr>
        <w:spacing w:line="276" w:lineRule="auto"/>
        <w:jc w:val="both"/>
        <w:textAlignment w:val="baseline"/>
        <w:rPr>
          <w:rFonts w:ascii="Arial" w:eastAsia="Times New Roman" w:hAnsi="Arial" w:cs="Arial"/>
          <w:kern w:val="0"/>
          <w:lang w:eastAsia="es-ES_tradnl"/>
          <w14:ligatures w14:val="none"/>
        </w:rPr>
      </w:pPr>
      <w:r w:rsidRPr="00EF4D4C">
        <w:rPr>
          <w:rFonts w:ascii="Arial" w:eastAsia="Times New Roman" w:hAnsi="Arial" w:cs="Arial"/>
          <w:b/>
          <w:bCs/>
          <w:color w:val="000000"/>
          <w:kern w:val="0"/>
          <w:lang w:val="es-CO" w:eastAsia="es-ES_tradnl"/>
          <w14:ligatures w14:val="none"/>
        </w:rPr>
        <w:t>Jurisprudencia</w:t>
      </w:r>
      <w:r w:rsidRPr="00EF4D4C">
        <w:rPr>
          <w:rFonts w:ascii="Arial" w:eastAsia="Times New Roman" w:hAnsi="Arial" w:cs="Arial"/>
          <w:color w:val="000000"/>
          <w:kern w:val="0"/>
          <w:lang w:eastAsia="es-ES_tradnl"/>
          <w14:ligatures w14:val="none"/>
        </w:rPr>
        <w:t> </w:t>
      </w:r>
    </w:p>
    <w:p w14:paraId="5C6460F2" w14:textId="77777777" w:rsidR="00DA03DA" w:rsidRPr="00EF4D4C" w:rsidRDefault="00EE3142" w:rsidP="00486CEF">
      <w:pPr>
        <w:pStyle w:val="Prrafodelista"/>
        <w:numPr>
          <w:ilvl w:val="0"/>
          <w:numId w:val="32"/>
        </w:numPr>
        <w:spacing w:line="276" w:lineRule="auto"/>
        <w:jc w:val="both"/>
        <w:textAlignment w:val="baseline"/>
        <w:rPr>
          <w:rFonts w:ascii="Arial" w:eastAsia="Times New Roman" w:hAnsi="Arial" w:cs="Arial"/>
          <w:kern w:val="0"/>
          <w:lang w:eastAsia="es-ES_tradnl"/>
          <w14:ligatures w14:val="none"/>
        </w:rPr>
      </w:pPr>
      <w:r w:rsidRPr="00EF4D4C">
        <w:rPr>
          <w:rFonts w:ascii="Arial" w:eastAsia="Times New Roman" w:hAnsi="Arial" w:cs="Arial"/>
          <w:b/>
          <w:bCs/>
          <w:color w:val="000000"/>
          <w:kern w:val="0"/>
          <w:lang w:val="es-CO" w:eastAsia="es-ES_tradnl"/>
          <w14:ligatures w14:val="none"/>
        </w:rPr>
        <w:lastRenderedPageBreak/>
        <w:t>Tribunal Superior de Pereira (26/03/2025)</w:t>
      </w:r>
      <w:r w:rsidRPr="00EF4D4C">
        <w:rPr>
          <w:rFonts w:ascii="Arial" w:eastAsia="Times New Roman" w:hAnsi="Arial" w:cs="Arial"/>
          <w:color w:val="000000"/>
          <w:kern w:val="0"/>
          <w:lang w:val="es-CO" w:eastAsia="es-ES_tradnl"/>
          <w14:ligatures w14:val="none"/>
        </w:rPr>
        <w:t>: en caso ICBF Santa Rosa vs. Comisaría de Marsella, confirmó que </w:t>
      </w:r>
      <w:r w:rsidRPr="00EF4D4C">
        <w:rPr>
          <w:rFonts w:ascii="Arial" w:eastAsia="Times New Roman" w:hAnsi="Arial" w:cs="Arial"/>
          <w:b/>
          <w:bCs/>
          <w:color w:val="000000"/>
          <w:kern w:val="0"/>
          <w:lang w:val="es-CO" w:eastAsia="es-ES_tradnl"/>
          <w14:ligatures w14:val="none"/>
        </w:rPr>
        <w:t>para alimentos de adulto mayor la competencia corresponde al defensor</w:t>
      </w:r>
      <w:r w:rsidRPr="00EF4D4C">
        <w:rPr>
          <w:rFonts w:ascii="Arial" w:eastAsia="Times New Roman" w:hAnsi="Arial" w:cs="Arial"/>
          <w:color w:val="000000"/>
          <w:kern w:val="0"/>
          <w:lang w:val="es-CO" w:eastAsia="es-ES_tradnl"/>
          <w14:ligatures w14:val="none"/>
        </w:rPr>
        <w:t>, no aplicando subsidiariedad. </w:t>
      </w:r>
      <w:r w:rsidRPr="00EF4D4C">
        <w:rPr>
          <w:rFonts w:ascii="Arial" w:eastAsia="Times New Roman" w:hAnsi="Arial" w:cs="Arial"/>
          <w:color w:val="000000"/>
          <w:kern w:val="0"/>
          <w:lang w:eastAsia="es-ES_tradnl"/>
          <w14:ligatures w14:val="none"/>
        </w:rPr>
        <w:t> </w:t>
      </w:r>
    </w:p>
    <w:p w14:paraId="11E8186E" w14:textId="77777777" w:rsidR="00EE3142" w:rsidRPr="00EF4D4C" w:rsidRDefault="00EE3142" w:rsidP="00486CEF">
      <w:pPr>
        <w:pStyle w:val="Prrafodelista"/>
        <w:numPr>
          <w:ilvl w:val="0"/>
          <w:numId w:val="32"/>
        </w:numPr>
        <w:spacing w:line="276" w:lineRule="auto"/>
        <w:jc w:val="both"/>
        <w:textAlignment w:val="baseline"/>
        <w:rPr>
          <w:rFonts w:ascii="Arial" w:eastAsia="Times New Roman" w:hAnsi="Arial" w:cs="Arial"/>
          <w:kern w:val="0"/>
          <w:lang w:eastAsia="es-ES_tradnl"/>
          <w14:ligatures w14:val="none"/>
        </w:rPr>
      </w:pPr>
      <w:r w:rsidRPr="00EF4D4C">
        <w:rPr>
          <w:rFonts w:ascii="Arial" w:eastAsia="Times New Roman" w:hAnsi="Arial" w:cs="Arial"/>
          <w:b/>
          <w:bCs/>
          <w:color w:val="000000"/>
          <w:kern w:val="0"/>
          <w:lang w:val="es-CO" w:eastAsia="es-ES_tradnl"/>
          <w14:ligatures w14:val="none"/>
        </w:rPr>
        <w:t>Consejo de Estado – Sala Consulta (19/07/2023)</w:t>
      </w:r>
      <w:r w:rsidRPr="00EF4D4C">
        <w:rPr>
          <w:rFonts w:ascii="Arial" w:eastAsia="Times New Roman" w:hAnsi="Arial" w:cs="Arial"/>
          <w:color w:val="000000"/>
          <w:kern w:val="0"/>
          <w:lang w:val="es-CO" w:eastAsia="es-ES_tradnl"/>
          <w14:ligatures w14:val="none"/>
        </w:rPr>
        <w:t>: en disputa ICBF Bosa vs. Comisaría CAPIV Bogotá, la Sala señaló que la Comisaría CAPIV debía continuar medidas ya adoptadas (PARD y seguimiento), lo que confirma la facultad de las comisarías para mantener protección provisional en ausencia o demora de la defensoría. </w:t>
      </w:r>
      <w:r w:rsidRPr="00EF4D4C">
        <w:rPr>
          <w:rFonts w:ascii="Arial" w:eastAsia="Times New Roman" w:hAnsi="Arial" w:cs="Arial"/>
          <w:color w:val="000000"/>
          <w:kern w:val="0"/>
          <w:lang w:eastAsia="es-ES_tradnl"/>
          <w14:ligatures w14:val="none"/>
        </w:rPr>
        <w:t> </w:t>
      </w:r>
    </w:p>
    <w:p w14:paraId="0FFDF8C0" w14:textId="77777777" w:rsidR="00DA03DA" w:rsidRPr="00EF4D4C" w:rsidRDefault="00DA03DA" w:rsidP="00486CEF">
      <w:pPr>
        <w:pStyle w:val="Prrafodelista"/>
        <w:spacing w:line="276" w:lineRule="auto"/>
        <w:jc w:val="both"/>
        <w:textAlignment w:val="baseline"/>
        <w:rPr>
          <w:rFonts w:ascii="Arial" w:eastAsia="Times New Roman" w:hAnsi="Arial" w:cs="Arial"/>
          <w:kern w:val="0"/>
          <w:lang w:eastAsia="es-ES_tradnl"/>
          <w14:ligatures w14:val="none"/>
        </w:rPr>
      </w:pPr>
    </w:p>
    <w:p w14:paraId="1D3C877D" w14:textId="77777777" w:rsidR="00EE3142" w:rsidRPr="00EF4D4C" w:rsidRDefault="00EE3142" w:rsidP="00486CEF">
      <w:pPr>
        <w:spacing w:line="276" w:lineRule="auto"/>
        <w:jc w:val="both"/>
        <w:textAlignment w:val="baseline"/>
        <w:rPr>
          <w:rFonts w:ascii="Arial" w:eastAsia="Times New Roman" w:hAnsi="Arial" w:cs="Arial"/>
          <w:color w:val="0F4761"/>
          <w:kern w:val="0"/>
          <w:lang w:eastAsia="es-ES_tradnl"/>
          <w14:ligatures w14:val="none"/>
        </w:rPr>
      </w:pPr>
      <w:r w:rsidRPr="00EF4D4C">
        <w:rPr>
          <w:rFonts w:ascii="Arial" w:eastAsia="Times New Roman" w:hAnsi="Arial" w:cs="Arial"/>
          <w:b/>
          <w:bCs/>
          <w:color w:val="000000"/>
          <w:kern w:val="0"/>
          <w:lang w:val="es-CO" w:eastAsia="es-ES_tradnl"/>
          <w14:ligatures w14:val="none"/>
        </w:rPr>
        <w:t>4. FACTOR CONCURRENTE (Par. 1º, art. 5 Ley 2126/2021) — definición operativa clara</w:t>
      </w:r>
      <w:r w:rsidRPr="00EF4D4C">
        <w:rPr>
          <w:rFonts w:ascii="Arial" w:eastAsia="Times New Roman" w:hAnsi="Arial" w:cs="Arial"/>
          <w:color w:val="000000"/>
          <w:kern w:val="0"/>
          <w:lang w:eastAsia="es-ES_tradnl"/>
          <w14:ligatures w14:val="none"/>
        </w:rPr>
        <w:t> </w:t>
      </w:r>
    </w:p>
    <w:p w14:paraId="3626808E" w14:textId="77777777" w:rsidR="00DA03DA" w:rsidRPr="00EF4D4C" w:rsidRDefault="00EE3142" w:rsidP="00486CEF">
      <w:pPr>
        <w:spacing w:line="276" w:lineRule="auto"/>
        <w:jc w:val="both"/>
        <w:textAlignment w:val="baseline"/>
        <w:rPr>
          <w:rFonts w:ascii="Arial" w:eastAsia="Times New Roman" w:hAnsi="Arial" w:cs="Arial"/>
          <w:color w:val="000000"/>
          <w:kern w:val="0"/>
          <w:lang w:val="es-CO" w:eastAsia="es-ES_tradnl"/>
          <w14:ligatures w14:val="none"/>
        </w:rPr>
      </w:pPr>
      <w:r w:rsidRPr="00EF4D4C">
        <w:rPr>
          <w:rFonts w:ascii="Arial" w:eastAsia="Times New Roman" w:hAnsi="Arial" w:cs="Arial"/>
          <w:color w:val="000000"/>
          <w:kern w:val="0"/>
          <w:lang w:val="es-CO" w:eastAsia="es-ES_tradnl"/>
          <w14:ligatures w14:val="none"/>
        </w:rPr>
        <w:t>La competencia concurrente entre la Comisaría de Familia y la Defensoría de Familia sucede cuando ambas autoridades coexisten en el mismo municipio y ambas pueden intervenir en la protección de NNA, pero con áreas diferenciales de incumbencia: la Comisaría atiende violencia en el contexto familiar, mientras que la Defensoría atiende otras formas de amenaza o vulneración de derechos de NNA, incluida la violencia sexual y demás vulneraciones. </w:t>
      </w:r>
    </w:p>
    <w:p w14:paraId="6882B1A6" w14:textId="57EE0FD1" w:rsidR="00FF06C1" w:rsidRPr="00EF4D4C" w:rsidRDefault="00EE3142" w:rsidP="00486CEF">
      <w:pPr>
        <w:spacing w:line="276" w:lineRule="auto"/>
        <w:jc w:val="both"/>
        <w:textAlignment w:val="baseline"/>
        <w:rPr>
          <w:rFonts w:ascii="Arial" w:eastAsia="Times New Roman" w:hAnsi="Arial" w:cs="Arial"/>
          <w:kern w:val="0"/>
          <w:lang w:eastAsia="es-ES_tradnl"/>
          <w14:ligatures w14:val="none"/>
        </w:rPr>
      </w:pPr>
      <w:r w:rsidRPr="00EF4D4C">
        <w:rPr>
          <w:rFonts w:ascii="Arial" w:eastAsia="Times New Roman" w:hAnsi="Arial" w:cs="Arial"/>
          <w:color w:val="000000"/>
          <w:kern w:val="0"/>
          <w:lang w:eastAsia="es-ES_tradnl"/>
          <w14:ligatures w14:val="none"/>
        </w:rPr>
        <w:t> </w:t>
      </w:r>
    </w:p>
    <w:p w14:paraId="2EA23775" w14:textId="5D3A17A6" w:rsidR="00DA03DA" w:rsidRPr="00EF4D4C" w:rsidRDefault="008B6743" w:rsidP="00486CEF">
      <w:pPr>
        <w:spacing w:line="276" w:lineRule="auto"/>
        <w:jc w:val="both"/>
        <w:textAlignment w:val="baseline"/>
        <w:rPr>
          <w:rFonts w:ascii="Arial" w:eastAsia="Times New Roman" w:hAnsi="Arial" w:cs="Arial"/>
          <w:noProof/>
          <w:kern w:val="0"/>
          <w:lang w:eastAsia="es-ES"/>
          <w14:ligatures w14:val="none"/>
        </w:rPr>
      </w:pPr>
      <w:r w:rsidRPr="00EF4D4C">
        <w:rPr>
          <w:rFonts w:ascii="Arial" w:eastAsia="Times New Roman" w:hAnsi="Arial" w:cs="Arial"/>
          <w:noProof/>
          <w:kern w:val="0"/>
          <w:lang w:eastAsia="es-ES"/>
          <w14:ligatures w14:val="none"/>
        </w:rPr>
        <w:lastRenderedPageBreak/>
        <w:drawing>
          <wp:inline distT="0" distB="0" distL="0" distR="0" wp14:anchorId="0BAA557B" wp14:editId="637A9CB3">
            <wp:extent cx="5790082" cy="4400272"/>
            <wp:effectExtent l="0" t="0" r="1270" b="635"/>
            <wp:docPr id="510277324" name="Imagen 49"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277324" name="Imagen 49" descr="Interfaz de usuario gráfica, Texto, Aplicación&#10;&#10;El contenido generado por IA puede ser incorrecto."/>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19020" cy="4422264"/>
                    </a:xfrm>
                    <a:prstGeom prst="rect">
                      <a:avLst/>
                    </a:prstGeom>
                    <a:noFill/>
                  </pic:spPr>
                </pic:pic>
              </a:graphicData>
            </a:graphic>
          </wp:inline>
        </w:drawing>
      </w:r>
    </w:p>
    <w:p w14:paraId="20365720" w14:textId="77777777" w:rsidR="00EE3142" w:rsidRPr="00EF4D4C" w:rsidRDefault="00EE3142" w:rsidP="00486CEF">
      <w:pPr>
        <w:spacing w:line="276" w:lineRule="auto"/>
        <w:jc w:val="both"/>
        <w:textAlignment w:val="baseline"/>
        <w:rPr>
          <w:rFonts w:ascii="Arial" w:eastAsia="Times New Roman" w:hAnsi="Arial" w:cs="Arial"/>
          <w:kern w:val="0"/>
          <w:lang w:eastAsia="es-ES_tradnl"/>
          <w14:ligatures w14:val="none"/>
        </w:rPr>
      </w:pPr>
      <w:r w:rsidRPr="00EF4D4C">
        <w:rPr>
          <w:rFonts w:ascii="Arial" w:eastAsia="Times New Roman" w:hAnsi="Arial" w:cs="Arial"/>
          <w:b/>
          <w:bCs/>
          <w:color w:val="000000"/>
          <w:kern w:val="0"/>
          <w:lang w:val="es-CO" w:eastAsia="es-ES_tradnl"/>
          <w14:ligatures w14:val="none"/>
        </w:rPr>
        <w:t>Jurisprudencia:</w:t>
      </w:r>
      <w:r w:rsidRPr="00EF4D4C">
        <w:rPr>
          <w:rFonts w:ascii="Arial" w:eastAsia="Times New Roman" w:hAnsi="Arial" w:cs="Arial"/>
          <w:color w:val="000000"/>
          <w:kern w:val="0"/>
          <w:lang w:eastAsia="es-ES_tradnl"/>
          <w14:ligatures w14:val="none"/>
        </w:rPr>
        <w:t> </w:t>
      </w:r>
    </w:p>
    <w:p w14:paraId="5FB9355F" w14:textId="77777777" w:rsidR="00DA03DA" w:rsidRPr="00EF4D4C" w:rsidRDefault="00EE3142" w:rsidP="00486CEF">
      <w:pPr>
        <w:pStyle w:val="Prrafodelista"/>
        <w:numPr>
          <w:ilvl w:val="0"/>
          <w:numId w:val="37"/>
        </w:numPr>
        <w:spacing w:line="276" w:lineRule="auto"/>
        <w:jc w:val="both"/>
        <w:textAlignment w:val="baseline"/>
        <w:rPr>
          <w:rFonts w:ascii="Arial" w:eastAsia="Times New Roman" w:hAnsi="Arial" w:cs="Arial"/>
          <w:kern w:val="0"/>
          <w:lang w:eastAsia="es-ES_tradnl"/>
          <w14:ligatures w14:val="none"/>
        </w:rPr>
      </w:pPr>
      <w:r w:rsidRPr="00EF4D4C">
        <w:rPr>
          <w:rFonts w:ascii="Arial" w:eastAsia="Times New Roman" w:hAnsi="Arial" w:cs="Arial"/>
          <w:b/>
          <w:bCs/>
          <w:color w:val="000000"/>
          <w:kern w:val="0"/>
          <w:lang w:val="es-CO" w:eastAsia="es-ES_tradnl"/>
          <w14:ligatures w14:val="none"/>
        </w:rPr>
        <w:t>Consejo de Estado – Auto 11001-03-06-000-2021-00051-00 (09/06/2021)</w:t>
      </w:r>
      <w:r w:rsidRPr="00EF4D4C">
        <w:rPr>
          <w:rFonts w:ascii="Arial" w:eastAsia="Times New Roman" w:hAnsi="Arial" w:cs="Arial"/>
          <w:color w:val="000000"/>
          <w:kern w:val="0"/>
          <w:lang w:val="es-CO" w:eastAsia="es-ES_tradnl"/>
          <w14:ligatures w14:val="none"/>
        </w:rPr>
        <w:t>: examinó conflictos de autoridades administrativas de familia y remarcó la concurrencia/territorialidad y resolución por la jurisdicción competente. Esta decisión es soporte para entender que la concurrencia requiere coordinación y puede ser dirimida por instancias superiores si hay conflicto. </w:t>
      </w:r>
      <w:r w:rsidRPr="00EF4D4C">
        <w:rPr>
          <w:rFonts w:ascii="Arial" w:eastAsia="Times New Roman" w:hAnsi="Arial" w:cs="Arial"/>
          <w:color w:val="000000"/>
          <w:kern w:val="0"/>
          <w:lang w:eastAsia="es-ES_tradnl"/>
          <w14:ligatures w14:val="none"/>
        </w:rPr>
        <w:t> </w:t>
      </w:r>
    </w:p>
    <w:p w14:paraId="5F417A0A" w14:textId="77777777" w:rsidR="00EE3142" w:rsidRPr="00EF4D4C" w:rsidRDefault="00EE3142" w:rsidP="00486CEF">
      <w:pPr>
        <w:pStyle w:val="Prrafodelista"/>
        <w:numPr>
          <w:ilvl w:val="0"/>
          <w:numId w:val="37"/>
        </w:numPr>
        <w:spacing w:line="276" w:lineRule="auto"/>
        <w:jc w:val="both"/>
        <w:textAlignment w:val="baseline"/>
        <w:rPr>
          <w:rFonts w:ascii="Arial" w:eastAsia="Times New Roman" w:hAnsi="Arial" w:cs="Arial"/>
          <w:kern w:val="0"/>
          <w:lang w:eastAsia="es-ES_tradnl"/>
          <w14:ligatures w14:val="none"/>
        </w:rPr>
      </w:pPr>
      <w:r w:rsidRPr="00EF4D4C">
        <w:rPr>
          <w:rFonts w:ascii="Arial" w:eastAsia="Times New Roman" w:hAnsi="Arial" w:cs="Arial"/>
          <w:b/>
          <w:bCs/>
          <w:color w:val="000000"/>
          <w:kern w:val="0"/>
          <w:lang w:val="es-CO" w:eastAsia="es-ES_tradnl"/>
          <w14:ligatures w14:val="none"/>
        </w:rPr>
        <w:t>Consejo de Estado – Sala Consulta 19/07/2023</w:t>
      </w:r>
      <w:r w:rsidRPr="00EF4D4C">
        <w:rPr>
          <w:rFonts w:ascii="Arial" w:eastAsia="Times New Roman" w:hAnsi="Arial" w:cs="Arial"/>
          <w:color w:val="000000"/>
          <w:kern w:val="0"/>
          <w:lang w:val="es-CO" w:eastAsia="es-ES_tradnl"/>
          <w14:ligatures w14:val="none"/>
        </w:rPr>
        <w:t> (ICBF Bosa vs. Comisaría CAPIV): reconoció facultades de la comisaría para PARD y seguimiento, en el marco de concurrencia y prevención. </w:t>
      </w:r>
      <w:r w:rsidRPr="00EF4D4C">
        <w:rPr>
          <w:rFonts w:ascii="Arial" w:eastAsia="Times New Roman" w:hAnsi="Arial" w:cs="Arial"/>
          <w:color w:val="000000"/>
          <w:kern w:val="0"/>
          <w:lang w:eastAsia="es-ES_tradnl"/>
          <w14:ligatures w14:val="none"/>
        </w:rPr>
        <w:t> </w:t>
      </w:r>
    </w:p>
    <w:p w14:paraId="6DF3CD7D" w14:textId="77777777" w:rsidR="00DA03DA" w:rsidRPr="00EF4D4C" w:rsidRDefault="00DA03DA" w:rsidP="00486CEF">
      <w:pPr>
        <w:spacing w:line="276" w:lineRule="auto"/>
        <w:jc w:val="both"/>
        <w:textAlignment w:val="baseline"/>
        <w:rPr>
          <w:rFonts w:ascii="Arial" w:eastAsia="Times New Roman" w:hAnsi="Arial" w:cs="Arial"/>
          <w:b/>
          <w:bCs/>
          <w:color w:val="000000"/>
          <w:kern w:val="0"/>
          <w:lang w:val="es-CO" w:eastAsia="es-ES_tradnl"/>
          <w14:ligatures w14:val="none"/>
        </w:rPr>
      </w:pPr>
    </w:p>
    <w:p w14:paraId="68CD5A11" w14:textId="6B073A16" w:rsidR="00EE3142" w:rsidRPr="00EF4D4C" w:rsidRDefault="5D793B34" w:rsidP="00C532E8">
      <w:pPr>
        <w:spacing w:line="276" w:lineRule="auto"/>
        <w:jc w:val="both"/>
        <w:rPr>
          <w:rFonts w:ascii="Arial" w:hAnsi="Arial" w:cs="Arial"/>
        </w:rPr>
      </w:pPr>
      <w:r w:rsidRPr="00EF4D4C">
        <w:rPr>
          <w:rFonts w:ascii="Arial" w:eastAsia="Times New Roman" w:hAnsi="Arial" w:cs="Arial"/>
          <w:b/>
          <w:bCs/>
          <w:color w:val="000000"/>
          <w:kern w:val="0"/>
          <w:lang w:val="es-CO" w:eastAsia="es-ES"/>
          <w14:ligatures w14:val="none"/>
        </w:rPr>
        <w:t>Consejo práctico:</w:t>
      </w:r>
      <w:r w:rsidRPr="00EF4D4C">
        <w:rPr>
          <w:rFonts w:ascii="Arial" w:eastAsia="Times New Roman" w:hAnsi="Arial" w:cs="Arial"/>
          <w:color w:val="000000"/>
          <w:kern w:val="0"/>
          <w:lang w:val="es-CO" w:eastAsia="es-ES"/>
          <w14:ligatures w14:val="none"/>
        </w:rPr>
        <w:t> </w:t>
      </w:r>
      <w:r w:rsidR="57B8CEE2" w:rsidRPr="00EF4D4C">
        <w:rPr>
          <w:rFonts w:ascii="Arial" w:eastAsia="Times New Roman" w:hAnsi="Arial" w:cs="Arial"/>
          <w:color w:val="000000" w:themeColor="text1"/>
          <w:lang w:val="es-CO" w:eastAsia="es-ES"/>
        </w:rPr>
        <w:t xml:space="preserve">Si a pesar de lo anterior </w:t>
      </w:r>
      <w:r w:rsidR="3DC09C5B" w:rsidRPr="00EF4D4C">
        <w:rPr>
          <w:rFonts w:ascii="Arial" w:eastAsia="Times New Roman" w:hAnsi="Arial" w:cs="Arial"/>
          <w:color w:val="000000" w:themeColor="text1"/>
          <w:lang w:val="es-CO" w:eastAsia="es-ES"/>
        </w:rPr>
        <w:t xml:space="preserve">existen </w:t>
      </w:r>
      <w:r w:rsidRPr="00EF4D4C">
        <w:rPr>
          <w:rFonts w:ascii="Arial" w:eastAsia="Times New Roman" w:hAnsi="Arial" w:cs="Arial"/>
          <w:color w:val="000000" w:themeColor="text1"/>
          <w:lang w:val="es-CO" w:eastAsia="es-ES"/>
        </w:rPr>
        <w:t>dudas sobre si es concurrente, la regla operativa es (1) proteger a la víctima, (2) notificar y coordinar con defensoría</w:t>
      </w:r>
      <w:r w:rsidR="6E8F06F8" w:rsidRPr="00EF4D4C">
        <w:rPr>
          <w:rFonts w:ascii="Arial" w:eastAsia="Times New Roman" w:hAnsi="Arial" w:cs="Arial"/>
          <w:color w:val="000000" w:themeColor="text1"/>
          <w:lang w:val="es-CO" w:eastAsia="es-ES"/>
        </w:rPr>
        <w:t xml:space="preserve"> de familia</w:t>
      </w:r>
      <w:r w:rsidRPr="00EF4D4C">
        <w:rPr>
          <w:rFonts w:ascii="Arial" w:eastAsia="Times New Roman" w:hAnsi="Arial" w:cs="Arial"/>
          <w:color w:val="000000" w:themeColor="text1"/>
          <w:lang w:val="es-CO" w:eastAsia="es-ES"/>
        </w:rPr>
        <w:t>, (3) documentar la intervención</w:t>
      </w:r>
      <w:r w:rsidR="385B740A" w:rsidRPr="00EF4D4C">
        <w:rPr>
          <w:rFonts w:ascii="Arial" w:eastAsia="Times New Roman" w:hAnsi="Arial" w:cs="Arial"/>
          <w:color w:val="000000" w:themeColor="text1"/>
          <w:lang w:val="es-CO" w:eastAsia="es-ES"/>
        </w:rPr>
        <w:t>, (4) evitar obstaculizar, retardar o denegar la prestación del servicio</w:t>
      </w:r>
      <w:r w:rsidRPr="00EF4D4C">
        <w:rPr>
          <w:rFonts w:ascii="Arial" w:eastAsia="Times New Roman" w:hAnsi="Arial" w:cs="Arial"/>
          <w:color w:val="000000" w:themeColor="text1"/>
          <w:lang w:val="es-CO" w:eastAsia="es-ES"/>
        </w:rPr>
        <w:t xml:space="preserve"> y </w:t>
      </w:r>
      <w:r w:rsidR="2B26C6F1" w:rsidRPr="00EF4D4C">
        <w:rPr>
          <w:rFonts w:ascii="Arial" w:eastAsia="Times New Roman" w:hAnsi="Arial" w:cs="Arial"/>
          <w:color w:val="000000" w:themeColor="text1"/>
          <w:lang w:val="es-CO" w:eastAsia="es-ES"/>
        </w:rPr>
        <w:t>las remisiones injustificadas entre autoridades</w:t>
      </w:r>
      <w:r w:rsidR="2C8E4E0F" w:rsidRPr="00EF4D4C">
        <w:rPr>
          <w:rFonts w:ascii="Arial" w:eastAsia="Times New Roman" w:hAnsi="Arial" w:cs="Arial"/>
          <w:color w:val="000000" w:themeColor="text1"/>
          <w:lang w:val="es-CO" w:eastAsia="es-ES"/>
        </w:rPr>
        <w:t>.</w:t>
      </w:r>
    </w:p>
    <w:p w14:paraId="184DB444" w14:textId="220D96A4" w:rsidR="00EE3142" w:rsidRPr="00EF4D4C" w:rsidRDefault="00EE3142" w:rsidP="00486CEF">
      <w:pPr>
        <w:spacing w:line="276" w:lineRule="auto"/>
        <w:jc w:val="both"/>
        <w:rPr>
          <w:rFonts w:ascii="Arial" w:eastAsia="Times New Roman" w:hAnsi="Arial" w:cs="Arial"/>
          <w:color w:val="000000" w:themeColor="text1"/>
          <w:lang w:val="es-CO" w:eastAsia="es-ES"/>
        </w:rPr>
      </w:pPr>
    </w:p>
    <w:p w14:paraId="4255E5BD" w14:textId="61A56605" w:rsidR="00EE3142" w:rsidRPr="00EF4D4C" w:rsidRDefault="5D793B34" w:rsidP="00486CEF">
      <w:pPr>
        <w:spacing w:line="276" w:lineRule="auto"/>
        <w:jc w:val="both"/>
        <w:rPr>
          <w:rFonts w:ascii="Arial" w:eastAsia="Times New Roman" w:hAnsi="Arial" w:cs="Arial"/>
          <w:color w:val="0F4761"/>
          <w:lang w:eastAsia="es-ES"/>
        </w:rPr>
      </w:pPr>
      <w:r w:rsidRPr="00EF4D4C">
        <w:rPr>
          <w:rFonts w:ascii="Arial" w:eastAsia="Times New Roman" w:hAnsi="Arial" w:cs="Arial"/>
          <w:b/>
          <w:bCs/>
          <w:color w:val="000000" w:themeColor="text1"/>
          <w:lang w:val="es-CO" w:eastAsia="es-ES"/>
        </w:rPr>
        <w:lastRenderedPageBreak/>
        <w:t>5. FACTOR A PREVENCIÓN (Art. 99 Ley 1098/2006</w:t>
      </w:r>
      <w:r w:rsidR="4EE75F5C" w:rsidRPr="00EF4D4C">
        <w:rPr>
          <w:rFonts w:ascii="Arial" w:eastAsia="Times New Roman" w:hAnsi="Arial" w:cs="Arial"/>
          <w:b/>
          <w:bCs/>
          <w:color w:val="000000" w:themeColor="text1"/>
          <w:lang w:val="es-CO" w:eastAsia="es-ES"/>
        </w:rPr>
        <w:t xml:space="preserve"> - Par</w:t>
      </w:r>
      <w:r w:rsidR="40308F42" w:rsidRPr="00EF4D4C">
        <w:rPr>
          <w:rFonts w:ascii="Arial" w:eastAsia="Times New Roman" w:hAnsi="Arial" w:cs="Arial"/>
          <w:b/>
          <w:bCs/>
          <w:color w:val="000000" w:themeColor="text1"/>
          <w:lang w:val="es-CO" w:eastAsia="es-ES"/>
        </w:rPr>
        <w:t>ágrafo</w:t>
      </w:r>
      <w:r w:rsidR="4EE75F5C" w:rsidRPr="00EF4D4C">
        <w:rPr>
          <w:rFonts w:ascii="Arial" w:eastAsia="Times New Roman" w:hAnsi="Arial" w:cs="Arial"/>
          <w:b/>
          <w:bCs/>
          <w:color w:val="000000" w:themeColor="text1"/>
          <w:lang w:val="es-CO" w:eastAsia="es-ES"/>
        </w:rPr>
        <w:t>. 2º, art. 5 Ley 2126/2021</w:t>
      </w:r>
      <w:r w:rsidRPr="00EF4D4C">
        <w:rPr>
          <w:rFonts w:ascii="Arial" w:eastAsia="Times New Roman" w:hAnsi="Arial" w:cs="Arial"/>
          <w:b/>
          <w:bCs/>
          <w:color w:val="000000" w:themeColor="text1"/>
          <w:lang w:val="es-CO" w:eastAsia="es-ES"/>
        </w:rPr>
        <w:t>)</w:t>
      </w:r>
      <w:r w:rsidRPr="00EF4D4C">
        <w:rPr>
          <w:rFonts w:ascii="Arial" w:eastAsia="Times New Roman" w:hAnsi="Arial" w:cs="Arial"/>
          <w:color w:val="000000" w:themeColor="text1"/>
          <w:lang w:eastAsia="es-ES"/>
        </w:rPr>
        <w:t> </w:t>
      </w:r>
    </w:p>
    <w:p w14:paraId="0D2526B3" w14:textId="415F4C40" w:rsidR="5368BBF5" w:rsidRPr="00EF4D4C" w:rsidRDefault="5368BBF5" w:rsidP="00486CEF">
      <w:pPr>
        <w:spacing w:line="276" w:lineRule="auto"/>
        <w:jc w:val="both"/>
        <w:rPr>
          <w:rFonts w:ascii="Arial" w:eastAsia="Times New Roman" w:hAnsi="Arial" w:cs="Arial"/>
          <w:color w:val="000000" w:themeColor="text1"/>
          <w:lang w:val="es-CO" w:eastAsia="es-ES"/>
        </w:rPr>
      </w:pPr>
    </w:p>
    <w:p w14:paraId="0C06EC7A" w14:textId="3C44A85E" w:rsidR="00EE3142" w:rsidRPr="00EF4D4C" w:rsidRDefault="571C81CC" w:rsidP="00486CEF">
      <w:pPr>
        <w:spacing w:line="276" w:lineRule="auto"/>
        <w:jc w:val="both"/>
        <w:textAlignment w:val="baseline"/>
        <w:rPr>
          <w:rFonts w:ascii="Arial" w:hAnsi="Arial" w:cs="Arial"/>
        </w:rPr>
      </w:pPr>
      <w:r w:rsidRPr="00EF4D4C">
        <w:rPr>
          <w:rFonts w:ascii="Arial" w:eastAsia="Century Gothic" w:hAnsi="Arial" w:cs="Arial"/>
          <w:kern w:val="0"/>
          <w:lang w:val="es-CO"/>
          <w14:ligatures w14:val="none"/>
        </w:rPr>
        <w:t xml:space="preserve"> La primera autoridad que conozca del caso debe actuar conforme a sus funciones legales para evitar dilaciones, vacíos de atención y garantizar la protección de derechos fundamentales</w:t>
      </w:r>
      <w:r w:rsidR="5D793B34" w:rsidRPr="00EF4D4C">
        <w:rPr>
          <w:rFonts w:ascii="Arial" w:eastAsia="Times New Roman" w:hAnsi="Arial" w:cs="Arial"/>
          <w:color w:val="000000" w:themeColor="text1"/>
          <w:lang w:val="es-CO" w:eastAsia="es-ES"/>
        </w:rPr>
        <w:t>.</w:t>
      </w:r>
    </w:p>
    <w:p w14:paraId="72583C52" w14:textId="41C15277" w:rsidR="5368BBF5" w:rsidRPr="00EF4D4C" w:rsidRDefault="5368BBF5" w:rsidP="00486CEF">
      <w:pPr>
        <w:spacing w:line="276" w:lineRule="auto"/>
        <w:jc w:val="both"/>
        <w:rPr>
          <w:rFonts w:ascii="Arial" w:eastAsia="Times New Roman" w:hAnsi="Arial" w:cs="Arial"/>
          <w:color w:val="000000" w:themeColor="text1"/>
          <w:lang w:val="es-CO" w:eastAsia="es-ES"/>
        </w:rPr>
      </w:pPr>
    </w:p>
    <w:p w14:paraId="0927B0F8" w14:textId="77777777" w:rsidR="00EE3142" w:rsidRPr="00EF4D4C" w:rsidRDefault="5D793B34" w:rsidP="00486CEF">
      <w:pPr>
        <w:spacing w:line="276" w:lineRule="auto"/>
        <w:jc w:val="both"/>
        <w:textAlignment w:val="baseline"/>
        <w:rPr>
          <w:rFonts w:ascii="Arial" w:hAnsi="Arial" w:cs="Arial"/>
        </w:rPr>
      </w:pPr>
      <w:r w:rsidRPr="00EF4D4C">
        <w:rPr>
          <w:rFonts w:ascii="Arial" w:eastAsia="Times New Roman" w:hAnsi="Arial" w:cs="Arial"/>
          <w:b/>
          <w:bCs/>
          <w:color w:val="000000"/>
          <w:kern w:val="0"/>
          <w:lang w:val="es-CO" w:eastAsia="es-ES"/>
          <w14:ligatures w14:val="none"/>
        </w:rPr>
        <w:t>Jurisprudencia</w:t>
      </w:r>
      <w:r w:rsidRPr="00EF4D4C">
        <w:rPr>
          <w:rFonts w:ascii="Arial" w:eastAsia="Times New Roman" w:hAnsi="Arial" w:cs="Arial"/>
          <w:color w:val="000000"/>
          <w:kern w:val="0"/>
          <w:lang w:eastAsia="es-ES"/>
          <w14:ligatures w14:val="none"/>
        </w:rPr>
        <w:t> </w:t>
      </w:r>
    </w:p>
    <w:p w14:paraId="73E8A137" w14:textId="5B7D77CD" w:rsidR="5368BBF5" w:rsidRPr="00EF4D4C" w:rsidRDefault="5368BBF5" w:rsidP="00486CEF">
      <w:pPr>
        <w:spacing w:line="276" w:lineRule="auto"/>
        <w:jc w:val="both"/>
        <w:rPr>
          <w:rFonts w:ascii="Arial" w:eastAsia="Times New Roman" w:hAnsi="Arial" w:cs="Arial"/>
          <w:color w:val="000000" w:themeColor="text1"/>
          <w:lang w:eastAsia="es-ES"/>
        </w:rPr>
      </w:pPr>
    </w:p>
    <w:p w14:paraId="52BCE0D3" w14:textId="77777777" w:rsidR="00DA03DA" w:rsidRPr="00EF4D4C" w:rsidRDefault="00EE3142" w:rsidP="00486CEF">
      <w:pPr>
        <w:pStyle w:val="Prrafodelista"/>
        <w:numPr>
          <w:ilvl w:val="0"/>
          <w:numId w:val="37"/>
        </w:numPr>
        <w:spacing w:line="276" w:lineRule="auto"/>
        <w:jc w:val="both"/>
        <w:textAlignment w:val="baseline"/>
        <w:rPr>
          <w:rFonts w:ascii="Arial" w:eastAsia="Times New Roman" w:hAnsi="Arial" w:cs="Arial"/>
          <w:kern w:val="0"/>
          <w:lang w:eastAsia="es-ES_tradnl"/>
          <w14:ligatures w14:val="none"/>
        </w:rPr>
      </w:pPr>
      <w:r w:rsidRPr="00EF4D4C">
        <w:rPr>
          <w:rFonts w:ascii="Arial" w:eastAsia="Times New Roman" w:hAnsi="Arial" w:cs="Arial"/>
          <w:b/>
          <w:bCs/>
          <w:color w:val="000000"/>
          <w:kern w:val="0"/>
          <w:lang w:val="es-CO" w:eastAsia="es-ES_tradnl"/>
          <w14:ligatures w14:val="none"/>
        </w:rPr>
        <w:t>Consejo de Estado – Auto 09/06/2021</w:t>
      </w:r>
      <w:r w:rsidRPr="00EF4D4C">
        <w:rPr>
          <w:rFonts w:ascii="Arial" w:eastAsia="Times New Roman" w:hAnsi="Arial" w:cs="Arial"/>
          <w:color w:val="000000"/>
          <w:kern w:val="0"/>
          <w:lang w:val="es-CO" w:eastAsia="es-ES_tradnl"/>
          <w14:ligatures w14:val="none"/>
        </w:rPr>
        <w:t>: resoluciones en materia de conflictos entre autoridades administrativas aclararon que para controversias entre órdenes diferentes (nacional/territorial) corresponde pasar por la Sala de Consulta, pero que el principio de prevención debe preservarse para no dejar a la víctima sin atención. </w:t>
      </w:r>
      <w:r w:rsidRPr="00EF4D4C">
        <w:rPr>
          <w:rFonts w:ascii="Arial" w:eastAsia="Times New Roman" w:hAnsi="Arial" w:cs="Arial"/>
          <w:color w:val="000000"/>
          <w:kern w:val="0"/>
          <w:lang w:eastAsia="es-ES_tradnl"/>
          <w14:ligatures w14:val="none"/>
        </w:rPr>
        <w:t> </w:t>
      </w:r>
    </w:p>
    <w:p w14:paraId="4C4D6F4B" w14:textId="3A99279A" w:rsidR="00EE3142" w:rsidRPr="00EF4D4C" w:rsidRDefault="5D793B34" w:rsidP="00486CEF">
      <w:pPr>
        <w:spacing w:before="240" w:after="240" w:line="276" w:lineRule="auto"/>
        <w:jc w:val="both"/>
        <w:textAlignment w:val="baseline"/>
        <w:rPr>
          <w:rFonts w:ascii="Arial" w:eastAsia="Century Gothic" w:hAnsi="Arial" w:cs="Arial"/>
        </w:rPr>
      </w:pPr>
      <w:r w:rsidRPr="00EF4D4C">
        <w:rPr>
          <w:rFonts w:ascii="Arial" w:eastAsia="Times New Roman" w:hAnsi="Arial" w:cs="Arial"/>
          <w:b/>
          <w:bCs/>
          <w:color w:val="000000"/>
          <w:kern w:val="0"/>
          <w:lang w:val="es-CO" w:eastAsia="es-ES"/>
          <w14:ligatures w14:val="none"/>
        </w:rPr>
        <w:t>Uso práctico:</w:t>
      </w:r>
      <w:r w:rsidRPr="00EF4D4C">
        <w:rPr>
          <w:rFonts w:ascii="Arial" w:eastAsia="Times New Roman" w:hAnsi="Arial" w:cs="Arial"/>
          <w:color w:val="000000"/>
          <w:kern w:val="0"/>
          <w:lang w:val="es-CO" w:eastAsia="es-ES"/>
          <w14:ligatures w14:val="none"/>
        </w:rPr>
        <w:t> </w:t>
      </w:r>
      <w:r w:rsidR="0A342F7F" w:rsidRPr="00EF4D4C">
        <w:rPr>
          <w:rFonts w:ascii="Arial" w:eastAsia="Century Gothic" w:hAnsi="Arial" w:cs="Arial"/>
        </w:rPr>
        <w:t xml:space="preserve"> En virtud del parágrafo 2° del artículo 5 de la Ley 2126 de 2021, cuando una Comisaría de Familia conozca un caso que inicialmente no sea de su competencia directa, debe </w:t>
      </w:r>
      <w:r w:rsidR="0A342F7F" w:rsidRPr="00EF4D4C">
        <w:rPr>
          <w:rFonts w:ascii="Arial" w:eastAsia="Century Gothic" w:hAnsi="Arial" w:cs="Arial"/>
          <w:b/>
          <w:bCs/>
        </w:rPr>
        <w:t>actuar de manera inmediata</w:t>
      </w:r>
      <w:r w:rsidR="0A342F7F" w:rsidRPr="00EF4D4C">
        <w:rPr>
          <w:rFonts w:ascii="Arial" w:eastAsia="Century Gothic" w:hAnsi="Arial" w:cs="Arial"/>
        </w:rPr>
        <w:t xml:space="preserve"> para garantizar la protección de derechos, especialmente si hay riesgos para la vida, integridad o dignidad de las personas involucradas.</w:t>
      </w:r>
    </w:p>
    <w:p w14:paraId="47F4FCCB" w14:textId="366B1402" w:rsidR="00EE3142" w:rsidRPr="00EF4D4C" w:rsidRDefault="0A342F7F" w:rsidP="00C532E8">
      <w:pPr>
        <w:spacing w:before="240" w:after="240" w:line="276" w:lineRule="auto"/>
        <w:jc w:val="both"/>
        <w:textAlignment w:val="baseline"/>
        <w:rPr>
          <w:rFonts w:ascii="Arial" w:eastAsia="Century Gothic" w:hAnsi="Arial" w:cs="Arial"/>
        </w:rPr>
      </w:pPr>
      <w:r w:rsidRPr="00EF4D4C">
        <w:rPr>
          <w:rFonts w:ascii="Arial" w:eastAsia="Century Gothic" w:hAnsi="Arial" w:cs="Arial"/>
        </w:rPr>
        <w:t xml:space="preserve">La Comisaría podrá adoptar medidas de protección y, si aplica, iniciar actuaciones preliminares, siempre bajo el principio de corresponsabilidad. En todo caso, deberá </w:t>
      </w:r>
      <w:r w:rsidRPr="00EF4D4C">
        <w:rPr>
          <w:rFonts w:ascii="Arial" w:eastAsia="Century Gothic" w:hAnsi="Arial" w:cs="Arial"/>
          <w:b/>
          <w:bCs/>
        </w:rPr>
        <w:t>remitir el caso a la autoridad competente dentro de los tres (3) días hábiles siguientes</w:t>
      </w:r>
      <w:r w:rsidRPr="00EF4D4C">
        <w:rPr>
          <w:rFonts w:ascii="Arial" w:eastAsia="Century Gothic" w:hAnsi="Arial" w:cs="Arial"/>
        </w:rPr>
        <w:t xml:space="preserve"> al conocimiento del hecho, asegurando así la continuidad del proceso de atención y evitando vacíos institucionales.</w:t>
      </w:r>
    </w:p>
    <w:p w14:paraId="1E750C69" w14:textId="1614C5C2" w:rsidR="00EE3142" w:rsidRPr="00EF4D4C" w:rsidRDefault="0A342F7F" w:rsidP="008B6743">
      <w:pPr>
        <w:spacing w:before="240" w:after="240" w:line="276" w:lineRule="auto"/>
        <w:jc w:val="both"/>
        <w:rPr>
          <w:rFonts w:ascii="Arial" w:eastAsia="Century Gothic" w:hAnsi="Arial" w:cs="Arial"/>
        </w:rPr>
      </w:pPr>
      <w:r w:rsidRPr="00EF4D4C">
        <w:rPr>
          <w:rFonts w:ascii="Arial" w:eastAsia="Century Gothic" w:hAnsi="Arial" w:cs="Arial"/>
        </w:rPr>
        <w:t>Este modelo de actuación busca priorizar la atención efectiva y articulada de las víctimas, sin generar conflictos de competencia que comprometan la garantía de los derechos.</w:t>
      </w:r>
    </w:p>
    <w:p w14:paraId="75E616B9" w14:textId="24765653" w:rsidR="00EE3142" w:rsidRPr="00EF4D4C" w:rsidRDefault="00611E7B" w:rsidP="00611E7B">
      <w:pPr>
        <w:pStyle w:val="Descripcin"/>
        <w:jc w:val="center"/>
        <w:rPr>
          <w:rFonts w:ascii="Arial" w:eastAsia="Times New Roman" w:hAnsi="Arial" w:cs="Arial"/>
          <w:b/>
          <w:bCs/>
          <w:i w:val="0"/>
          <w:iCs w:val="0"/>
          <w:kern w:val="0"/>
          <w:sz w:val="24"/>
          <w:szCs w:val="24"/>
          <w:lang w:eastAsia="es-ES_tradnl"/>
          <w14:ligatures w14:val="none"/>
        </w:rPr>
      </w:pPr>
      <w:bookmarkStart w:id="8" w:name="_Toc217301476"/>
      <w:r w:rsidRPr="00EF4D4C">
        <w:rPr>
          <w:rFonts w:ascii="Arial" w:hAnsi="Arial" w:cs="Arial"/>
          <w:b/>
          <w:bCs/>
          <w:i w:val="0"/>
          <w:iCs w:val="0"/>
          <w:color w:val="000000" w:themeColor="text1"/>
          <w:sz w:val="24"/>
          <w:szCs w:val="24"/>
        </w:rPr>
        <w:t xml:space="preserve">Tabla </w:t>
      </w:r>
      <w:r w:rsidRPr="00EF4D4C">
        <w:rPr>
          <w:rFonts w:ascii="Arial" w:hAnsi="Arial" w:cs="Arial"/>
          <w:b/>
          <w:bCs/>
          <w:i w:val="0"/>
          <w:iCs w:val="0"/>
          <w:color w:val="000000" w:themeColor="text1"/>
          <w:sz w:val="24"/>
          <w:szCs w:val="24"/>
        </w:rPr>
        <w:fldChar w:fldCharType="begin"/>
      </w:r>
      <w:r w:rsidRPr="00EF4D4C">
        <w:rPr>
          <w:rFonts w:ascii="Arial" w:hAnsi="Arial" w:cs="Arial"/>
          <w:b/>
          <w:bCs/>
          <w:i w:val="0"/>
          <w:iCs w:val="0"/>
          <w:color w:val="000000" w:themeColor="text1"/>
          <w:sz w:val="24"/>
          <w:szCs w:val="24"/>
        </w:rPr>
        <w:instrText xml:space="preserve"> SEQ Tabla \* ARABIC </w:instrText>
      </w:r>
      <w:r w:rsidRPr="00EF4D4C">
        <w:rPr>
          <w:rFonts w:ascii="Arial" w:hAnsi="Arial" w:cs="Arial"/>
          <w:b/>
          <w:bCs/>
          <w:i w:val="0"/>
          <w:iCs w:val="0"/>
          <w:color w:val="000000" w:themeColor="text1"/>
          <w:sz w:val="24"/>
          <w:szCs w:val="24"/>
        </w:rPr>
        <w:fldChar w:fldCharType="separate"/>
      </w:r>
      <w:r w:rsidR="007F5C59" w:rsidRPr="00EF4D4C">
        <w:rPr>
          <w:rFonts w:ascii="Arial" w:hAnsi="Arial" w:cs="Arial"/>
          <w:b/>
          <w:bCs/>
          <w:i w:val="0"/>
          <w:iCs w:val="0"/>
          <w:noProof/>
          <w:color w:val="000000" w:themeColor="text1"/>
          <w:sz w:val="24"/>
          <w:szCs w:val="24"/>
        </w:rPr>
        <w:t>9</w:t>
      </w:r>
      <w:r w:rsidRPr="00EF4D4C">
        <w:rPr>
          <w:rFonts w:ascii="Arial" w:hAnsi="Arial" w:cs="Arial"/>
          <w:b/>
          <w:bCs/>
          <w:i w:val="0"/>
          <w:iCs w:val="0"/>
          <w:color w:val="000000" w:themeColor="text1"/>
          <w:sz w:val="24"/>
          <w:szCs w:val="24"/>
        </w:rPr>
        <w:fldChar w:fldCharType="end"/>
      </w:r>
      <w:r w:rsidRPr="00EF4D4C">
        <w:rPr>
          <w:rFonts w:ascii="Arial" w:hAnsi="Arial" w:cs="Arial"/>
          <w:b/>
          <w:bCs/>
          <w:i w:val="0"/>
          <w:iCs w:val="0"/>
          <w:color w:val="000000" w:themeColor="text1"/>
          <w:sz w:val="24"/>
          <w:szCs w:val="24"/>
        </w:rPr>
        <w:t>.</w:t>
      </w:r>
      <w:r w:rsidR="00C42BEC" w:rsidRPr="00EF4D4C">
        <w:rPr>
          <w:rFonts w:ascii="Arial" w:eastAsia="Times New Roman" w:hAnsi="Arial" w:cs="Arial"/>
          <w:b/>
          <w:bCs/>
          <w:i w:val="0"/>
          <w:iCs w:val="0"/>
          <w:color w:val="000000" w:themeColor="text1"/>
          <w:kern w:val="0"/>
          <w:sz w:val="24"/>
          <w:szCs w:val="24"/>
          <w:lang w:val="es-CO" w:eastAsia="es-ES_tradnl"/>
          <w14:ligatures w14:val="none"/>
        </w:rPr>
        <w:t>Relación de d</w:t>
      </w:r>
      <w:r w:rsidR="00EE3142" w:rsidRPr="00EF4D4C">
        <w:rPr>
          <w:rFonts w:ascii="Arial" w:eastAsia="Times New Roman" w:hAnsi="Arial" w:cs="Arial"/>
          <w:b/>
          <w:bCs/>
          <w:i w:val="0"/>
          <w:iCs w:val="0"/>
          <w:color w:val="000000" w:themeColor="text1"/>
          <w:kern w:val="0"/>
          <w:sz w:val="24"/>
          <w:szCs w:val="24"/>
          <w:lang w:val="es-CO" w:eastAsia="es-ES_tradnl"/>
          <w14:ligatures w14:val="none"/>
        </w:rPr>
        <w:t>ecisiones de jurisprudencia citada:</w:t>
      </w:r>
      <w:bookmarkEnd w:id="8"/>
    </w:p>
    <w:tbl>
      <w:tblPr>
        <w:tblW w:w="8497"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124"/>
        <w:gridCol w:w="2124"/>
        <w:gridCol w:w="2124"/>
        <w:gridCol w:w="2125"/>
      </w:tblGrid>
      <w:tr w:rsidR="00EE3142" w:rsidRPr="00EF4D4C" w14:paraId="3617FB6D" w14:textId="77777777" w:rsidTr="007A3F75">
        <w:trPr>
          <w:trHeight w:val="300"/>
        </w:trPr>
        <w:tc>
          <w:tcPr>
            <w:tcW w:w="2124" w:type="dxa"/>
            <w:tcBorders>
              <w:top w:val="single" w:sz="6" w:space="0" w:color="auto"/>
              <w:left w:val="single" w:sz="6" w:space="0" w:color="auto"/>
              <w:bottom w:val="single" w:sz="6" w:space="0" w:color="auto"/>
              <w:right w:val="single" w:sz="6" w:space="0" w:color="auto"/>
            </w:tcBorders>
            <w:shd w:val="clear" w:color="auto" w:fill="1F3A5F"/>
            <w:vAlign w:val="center"/>
            <w:hideMark/>
          </w:tcPr>
          <w:p w14:paraId="1702A820" w14:textId="77777777" w:rsidR="00EE3142" w:rsidRPr="00EF4D4C" w:rsidRDefault="00EE3142" w:rsidP="00486CEF">
            <w:pPr>
              <w:spacing w:line="276" w:lineRule="auto"/>
              <w:jc w:val="center"/>
              <w:textAlignment w:val="baseline"/>
              <w:rPr>
                <w:rFonts w:ascii="Arial" w:eastAsia="Times New Roman" w:hAnsi="Arial" w:cs="Arial"/>
                <w:b/>
                <w:bCs/>
                <w:kern w:val="0"/>
                <w:lang w:eastAsia="es-ES_tradnl"/>
                <w14:ligatures w14:val="none"/>
              </w:rPr>
            </w:pPr>
            <w:r w:rsidRPr="00EF4D4C">
              <w:rPr>
                <w:rFonts w:ascii="Arial" w:eastAsia="Times New Roman" w:hAnsi="Arial" w:cs="Arial"/>
                <w:b/>
                <w:bCs/>
                <w:kern w:val="0"/>
                <w:lang w:val="es-CO" w:eastAsia="es-ES_tradnl"/>
                <w14:ligatures w14:val="none"/>
              </w:rPr>
              <w:t>Tipo de conflicto</w:t>
            </w:r>
            <w:r w:rsidRPr="00EF4D4C">
              <w:rPr>
                <w:rFonts w:ascii="Arial" w:eastAsia="Times New Roman" w:hAnsi="Arial" w:cs="Arial"/>
                <w:b/>
                <w:bCs/>
                <w:kern w:val="0"/>
                <w:lang w:eastAsia="es-ES_tradnl"/>
                <w14:ligatures w14:val="none"/>
              </w:rPr>
              <w:t> </w:t>
            </w:r>
          </w:p>
        </w:tc>
        <w:tc>
          <w:tcPr>
            <w:tcW w:w="2124" w:type="dxa"/>
            <w:tcBorders>
              <w:top w:val="single" w:sz="6" w:space="0" w:color="auto"/>
              <w:left w:val="single" w:sz="6" w:space="0" w:color="auto"/>
              <w:bottom w:val="single" w:sz="6" w:space="0" w:color="auto"/>
              <w:right w:val="single" w:sz="6" w:space="0" w:color="auto"/>
            </w:tcBorders>
            <w:shd w:val="clear" w:color="auto" w:fill="1F3A5F"/>
            <w:vAlign w:val="center"/>
            <w:hideMark/>
          </w:tcPr>
          <w:p w14:paraId="5BF8A346" w14:textId="77777777" w:rsidR="00EE3142" w:rsidRPr="00EF4D4C" w:rsidRDefault="00EE3142" w:rsidP="00486CEF">
            <w:pPr>
              <w:spacing w:line="276" w:lineRule="auto"/>
              <w:jc w:val="center"/>
              <w:textAlignment w:val="baseline"/>
              <w:rPr>
                <w:rFonts w:ascii="Arial" w:eastAsia="Times New Roman" w:hAnsi="Arial" w:cs="Arial"/>
                <w:kern w:val="0"/>
                <w:lang w:eastAsia="es-ES_tradnl"/>
                <w14:ligatures w14:val="none"/>
              </w:rPr>
            </w:pPr>
            <w:r w:rsidRPr="00EF4D4C">
              <w:rPr>
                <w:rFonts w:ascii="Arial" w:eastAsia="Times New Roman" w:hAnsi="Arial" w:cs="Arial"/>
                <w:b/>
                <w:bCs/>
                <w:kern w:val="0"/>
                <w:lang w:val="es-CO" w:eastAsia="es-ES_tradnl"/>
                <w14:ligatures w14:val="none"/>
              </w:rPr>
              <w:t>Quién resuelve</w:t>
            </w:r>
            <w:r w:rsidRPr="00EF4D4C">
              <w:rPr>
                <w:rFonts w:ascii="Arial" w:eastAsia="Times New Roman" w:hAnsi="Arial" w:cs="Arial"/>
                <w:kern w:val="0"/>
                <w:lang w:eastAsia="es-ES_tradnl"/>
                <w14:ligatures w14:val="none"/>
              </w:rPr>
              <w:t> </w:t>
            </w:r>
          </w:p>
        </w:tc>
        <w:tc>
          <w:tcPr>
            <w:tcW w:w="2124" w:type="dxa"/>
            <w:tcBorders>
              <w:top w:val="single" w:sz="6" w:space="0" w:color="auto"/>
              <w:left w:val="single" w:sz="6" w:space="0" w:color="auto"/>
              <w:bottom w:val="single" w:sz="6" w:space="0" w:color="auto"/>
              <w:right w:val="single" w:sz="6" w:space="0" w:color="auto"/>
            </w:tcBorders>
            <w:shd w:val="clear" w:color="auto" w:fill="1F3A5F"/>
            <w:vAlign w:val="center"/>
            <w:hideMark/>
          </w:tcPr>
          <w:p w14:paraId="6C9C917D" w14:textId="77777777" w:rsidR="00EE3142" w:rsidRPr="00EF4D4C" w:rsidRDefault="00EE3142" w:rsidP="00486CEF">
            <w:pPr>
              <w:spacing w:line="276" w:lineRule="auto"/>
              <w:jc w:val="center"/>
              <w:textAlignment w:val="baseline"/>
              <w:rPr>
                <w:rFonts w:ascii="Arial" w:eastAsia="Times New Roman" w:hAnsi="Arial" w:cs="Arial"/>
                <w:kern w:val="0"/>
                <w:lang w:eastAsia="es-ES_tradnl"/>
                <w14:ligatures w14:val="none"/>
              </w:rPr>
            </w:pPr>
            <w:r w:rsidRPr="00EF4D4C">
              <w:rPr>
                <w:rFonts w:ascii="Arial" w:eastAsia="Times New Roman" w:hAnsi="Arial" w:cs="Arial"/>
                <w:b/>
                <w:bCs/>
                <w:kern w:val="0"/>
                <w:lang w:val="es-CO" w:eastAsia="es-ES_tradnl"/>
                <w14:ligatures w14:val="none"/>
              </w:rPr>
              <w:t>Referencias clave</w:t>
            </w:r>
            <w:r w:rsidRPr="00EF4D4C">
              <w:rPr>
                <w:rFonts w:ascii="Arial" w:eastAsia="Times New Roman" w:hAnsi="Arial" w:cs="Arial"/>
                <w:kern w:val="0"/>
                <w:lang w:eastAsia="es-ES_tradnl"/>
                <w14:ligatures w14:val="none"/>
              </w:rPr>
              <w:t> </w:t>
            </w:r>
          </w:p>
        </w:tc>
        <w:tc>
          <w:tcPr>
            <w:tcW w:w="2125" w:type="dxa"/>
            <w:tcBorders>
              <w:top w:val="single" w:sz="6" w:space="0" w:color="auto"/>
              <w:left w:val="single" w:sz="6" w:space="0" w:color="auto"/>
              <w:bottom w:val="single" w:sz="6" w:space="0" w:color="auto"/>
              <w:right w:val="single" w:sz="6" w:space="0" w:color="auto"/>
            </w:tcBorders>
            <w:shd w:val="clear" w:color="auto" w:fill="1F3A5F"/>
            <w:vAlign w:val="center"/>
            <w:hideMark/>
          </w:tcPr>
          <w:p w14:paraId="4D86592D" w14:textId="77777777" w:rsidR="00EE3142" w:rsidRPr="00EF4D4C" w:rsidRDefault="00EE3142" w:rsidP="00486CEF">
            <w:pPr>
              <w:spacing w:line="276" w:lineRule="auto"/>
              <w:jc w:val="center"/>
              <w:textAlignment w:val="baseline"/>
              <w:rPr>
                <w:rFonts w:ascii="Arial" w:eastAsia="Times New Roman" w:hAnsi="Arial" w:cs="Arial"/>
                <w:kern w:val="0"/>
                <w:lang w:eastAsia="es-ES_tradnl"/>
                <w14:ligatures w14:val="none"/>
              </w:rPr>
            </w:pPr>
            <w:r w:rsidRPr="00EF4D4C">
              <w:rPr>
                <w:rFonts w:ascii="Arial" w:eastAsia="Times New Roman" w:hAnsi="Arial" w:cs="Arial"/>
                <w:b/>
                <w:bCs/>
                <w:kern w:val="0"/>
                <w:lang w:val="es-CO" w:eastAsia="es-ES_tradnl"/>
                <w14:ligatures w14:val="none"/>
              </w:rPr>
              <w:t>Regla práctica</w:t>
            </w:r>
            <w:r w:rsidRPr="00EF4D4C">
              <w:rPr>
                <w:rFonts w:ascii="Arial" w:eastAsia="Times New Roman" w:hAnsi="Arial" w:cs="Arial"/>
                <w:kern w:val="0"/>
                <w:lang w:eastAsia="es-ES_tradnl"/>
                <w14:ligatures w14:val="none"/>
              </w:rPr>
              <w:t> </w:t>
            </w:r>
          </w:p>
        </w:tc>
      </w:tr>
      <w:tr w:rsidR="00EE3142" w:rsidRPr="00EF4D4C" w14:paraId="263772AB" w14:textId="77777777" w:rsidTr="00F64A22">
        <w:trPr>
          <w:trHeight w:val="300"/>
        </w:trPr>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51154389" w14:textId="4DD1A1AE" w:rsidR="00EE3142" w:rsidRPr="00EF4D4C" w:rsidRDefault="5D793B34" w:rsidP="00486CEF">
            <w:pPr>
              <w:spacing w:line="276" w:lineRule="auto"/>
              <w:textAlignment w:val="baseline"/>
              <w:rPr>
                <w:rFonts w:ascii="Arial" w:eastAsia="Times New Roman" w:hAnsi="Arial" w:cs="Arial"/>
                <w:b/>
                <w:bCs/>
                <w:kern w:val="0"/>
                <w:lang w:eastAsia="es-ES"/>
                <w14:ligatures w14:val="none"/>
              </w:rPr>
            </w:pPr>
            <w:r w:rsidRPr="00EF4D4C">
              <w:rPr>
                <w:rFonts w:ascii="Arial" w:eastAsia="Times New Roman" w:hAnsi="Arial" w:cs="Arial"/>
                <w:b/>
                <w:bCs/>
                <w:kern w:val="0"/>
                <w:lang w:val="es-CO" w:eastAsia="es-ES"/>
                <w14:ligatures w14:val="none"/>
              </w:rPr>
              <w:t xml:space="preserve">Comisaría vs. Juzgado de Familia (medidas protección </w:t>
            </w:r>
            <w:r w:rsidR="5981B696" w:rsidRPr="00EF4D4C">
              <w:rPr>
                <w:rFonts w:ascii="Arial" w:eastAsia="Times New Roman" w:hAnsi="Arial" w:cs="Arial"/>
                <w:b/>
                <w:bCs/>
                <w:lang w:val="es-CO" w:eastAsia="es-ES"/>
              </w:rPr>
              <w:t>VCF</w:t>
            </w:r>
            <w:r w:rsidRPr="00EF4D4C">
              <w:rPr>
                <w:rFonts w:ascii="Arial" w:eastAsia="Times New Roman" w:hAnsi="Arial" w:cs="Arial"/>
                <w:b/>
                <w:bCs/>
                <w:lang w:val="es-CO" w:eastAsia="es-ES"/>
              </w:rPr>
              <w:t>)</w:t>
            </w:r>
            <w:r w:rsidRPr="00EF4D4C">
              <w:rPr>
                <w:rFonts w:ascii="Arial" w:eastAsia="Times New Roman" w:hAnsi="Arial" w:cs="Arial"/>
                <w:b/>
                <w:bCs/>
                <w:lang w:eastAsia="es-ES"/>
              </w:rPr>
              <w:t> </w:t>
            </w:r>
          </w:p>
        </w:tc>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37CCCECA" w14:textId="77777777" w:rsidR="00EE3142" w:rsidRPr="00EF4D4C" w:rsidRDefault="00EE3142" w:rsidP="00486CEF">
            <w:pPr>
              <w:spacing w:line="276" w:lineRule="auto"/>
              <w:textAlignment w:val="baseline"/>
              <w:rPr>
                <w:rFonts w:ascii="Arial" w:eastAsia="Times New Roman" w:hAnsi="Arial" w:cs="Arial"/>
                <w:kern w:val="0"/>
                <w:lang w:eastAsia="es-ES_tradnl"/>
                <w14:ligatures w14:val="none"/>
              </w:rPr>
            </w:pPr>
            <w:r w:rsidRPr="00EF4D4C">
              <w:rPr>
                <w:rFonts w:ascii="Arial" w:eastAsia="Times New Roman" w:hAnsi="Arial" w:cs="Arial"/>
                <w:kern w:val="0"/>
                <w:lang w:val="es-CO" w:eastAsia="es-ES_tradnl"/>
                <w14:ligatures w14:val="none"/>
              </w:rPr>
              <w:t>Tribunales Sala Civil Familia</w:t>
            </w:r>
            <w:r w:rsidRPr="00EF4D4C">
              <w:rPr>
                <w:rFonts w:ascii="Arial" w:eastAsia="Times New Roman" w:hAnsi="Arial" w:cs="Arial"/>
                <w:kern w:val="0"/>
                <w:lang w:eastAsia="es-ES_tradnl"/>
                <w14:ligatures w14:val="none"/>
              </w:rPr>
              <w:t> </w:t>
            </w:r>
          </w:p>
        </w:tc>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4725E410" w14:textId="77777777" w:rsidR="00EE3142" w:rsidRPr="00EF4D4C" w:rsidRDefault="00EE3142" w:rsidP="00486CEF">
            <w:pPr>
              <w:spacing w:line="276" w:lineRule="auto"/>
              <w:textAlignment w:val="baseline"/>
              <w:rPr>
                <w:rFonts w:ascii="Arial" w:eastAsia="Times New Roman" w:hAnsi="Arial" w:cs="Arial"/>
                <w:kern w:val="0"/>
                <w:lang w:eastAsia="es-ES_tradnl"/>
                <w14:ligatures w14:val="none"/>
              </w:rPr>
            </w:pPr>
            <w:r w:rsidRPr="00EF4D4C">
              <w:rPr>
                <w:rFonts w:ascii="Arial" w:eastAsia="Times New Roman" w:hAnsi="Arial" w:cs="Arial"/>
                <w:kern w:val="0"/>
                <w:lang w:val="es-CO" w:eastAsia="es-ES_tradnl"/>
                <w14:ligatures w14:val="none"/>
              </w:rPr>
              <w:t>Consejo de Estado Auto 11001-03-06-000-2021-00051-00; Tribunal Superior Cundinamarca 05/05/2023.</w:t>
            </w:r>
            <w:r w:rsidRPr="00EF4D4C">
              <w:rPr>
                <w:rFonts w:ascii="Arial" w:eastAsia="Times New Roman" w:hAnsi="Arial" w:cs="Arial"/>
                <w:kern w:val="0"/>
                <w:lang w:eastAsia="es-ES_tradnl"/>
                <w14:ligatures w14:val="none"/>
              </w:rPr>
              <w:t> </w:t>
            </w:r>
          </w:p>
        </w:tc>
        <w:tc>
          <w:tcPr>
            <w:tcW w:w="2125"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13AB1AFF" w14:textId="77777777" w:rsidR="00EE3142" w:rsidRPr="00EF4D4C" w:rsidRDefault="00EE3142" w:rsidP="00486CEF">
            <w:pPr>
              <w:spacing w:line="276" w:lineRule="auto"/>
              <w:textAlignment w:val="baseline"/>
              <w:rPr>
                <w:rFonts w:ascii="Arial" w:eastAsia="Times New Roman" w:hAnsi="Arial" w:cs="Arial"/>
                <w:kern w:val="0"/>
                <w:lang w:eastAsia="es-ES_tradnl"/>
                <w14:ligatures w14:val="none"/>
              </w:rPr>
            </w:pPr>
            <w:r w:rsidRPr="00EF4D4C">
              <w:rPr>
                <w:rFonts w:ascii="Arial" w:eastAsia="Times New Roman" w:hAnsi="Arial" w:cs="Arial"/>
                <w:kern w:val="0"/>
                <w:lang w:val="es-CO" w:eastAsia="es-ES_tradnl"/>
                <w14:ligatures w14:val="none"/>
              </w:rPr>
              <w:t>Comisaría actúa primero (medida urgente); el tribunal/juzgado dirime conflicto si aparece disputa por competencia definitiva. </w:t>
            </w:r>
            <w:r w:rsidRPr="00EF4D4C">
              <w:rPr>
                <w:rFonts w:ascii="Arial" w:eastAsia="Times New Roman" w:hAnsi="Arial" w:cs="Arial"/>
                <w:kern w:val="0"/>
                <w:lang w:eastAsia="es-ES_tradnl"/>
                <w14:ligatures w14:val="none"/>
              </w:rPr>
              <w:t> </w:t>
            </w:r>
          </w:p>
        </w:tc>
      </w:tr>
      <w:tr w:rsidR="00EE3142" w:rsidRPr="00EF4D4C" w14:paraId="7F3432B0" w14:textId="77777777" w:rsidTr="00F64A22">
        <w:trPr>
          <w:trHeight w:val="300"/>
        </w:trPr>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3836CF48" w14:textId="333C4C95" w:rsidR="00EE3142" w:rsidRPr="00EF4D4C" w:rsidRDefault="5D793B34" w:rsidP="00486CEF">
            <w:pPr>
              <w:spacing w:line="276" w:lineRule="auto"/>
              <w:textAlignment w:val="baseline"/>
              <w:rPr>
                <w:rFonts w:ascii="Arial" w:eastAsia="Times New Roman" w:hAnsi="Arial" w:cs="Arial"/>
                <w:b/>
                <w:bCs/>
                <w:kern w:val="0"/>
                <w:lang w:eastAsia="es-ES"/>
                <w14:ligatures w14:val="none"/>
              </w:rPr>
            </w:pPr>
            <w:r w:rsidRPr="00EF4D4C">
              <w:rPr>
                <w:rFonts w:ascii="Arial" w:eastAsia="Times New Roman" w:hAnsi="Arial" w:cs="Arial"/>
                <w:b/>
                <w:bCs/>
                <w:kern w:val="0"/>
                <w:lang w:val="es-CO" w:eastAsia="es-ES"/>
                <w14:ligatures w14:val="none"/>
              </w:rPr>
              <w:lastRenderedPageBreak/>
              <w:t xml:space="preserve">Comisaría vs. Comisaría (conflicto territorial en </w:t>
            </w:r>
            <w:r w:rsidR="5981B696" w:rsidRPr="00EF4D4C">
              <w:rPr>
                <w:rFonts w:ascii="Arial" w:eastAsia="Times New Roman" w:hAnsi="Arial" w:cs="Arial"/>
                <w:b/>
                <w:bCs/>
                <w:lang w:val="es-CO" w:eastAsia="es-ES"/>
              </w:rPr>
              <w:t>VCF</w:t>
            </w:r>
            <w:r w:rsidRPr="00EF4D4C">
              <w:rPr>
                <w:rFonts w:ascii="Arial" w:eastAsia="Times New Roman" w:hAnsi="Arial" w:cs="Arial"/>
                <w:b/>
                <w:bCs/>
                <w:lang w:val="es-CO" w:eastAsia="es-ES"/>
              </w:rPr>
              <w:t>)</w:t>
            </w:r>
            <w:r w:rsidRPr="00EF4D4C">
              <w:rPr>
                <w:rFonts w:ascii="Arial" w:eastAsia="Times New Roman" w:hAnsi="Arial" w:cs="Arial"/>
                <w:b/>
                <w:bCs/>
                <w:lang w:eastAsia="es-ES"/>
              </w:rPr>
              <w:t> </w:t>
            </w:r>
          </w:p>
        </w:tc>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29BAC9BC" w14:textId="77777777" w:rsidR="00EE3142" w:rsidRPr="00EF4D4C" w:rsidRDefault="00EE3142" w:rsidP="00486CEF">
            <w:pPr>
              <w:spacing w:line="276" w:lineRule="auto"/>
              <w:textAlignment w:val="baseline"/>
              <w:rPr>
                <w:rFonts w:ascii="Arial" w:eastAsia="Times New Roman" w:hAnsi="Arial" w:cs="Arial"/>
                <w:kern w:val="0"/>
                <w:lang w:eastAsia="es-ES_tradnl"/>
                <w14:ligatures w14:val="none"/>
              </w:rPr>
            </w:pPr>
            <w:r w:rsidRPr="00EF4D4C">
              <w:rPr>
                <w:rFonts w:ascii="Arial" w:eastAsia="Times New Roman" w:hAnsi="Arial" w:cs="Arial"/>
                <w:kern w:val="0"/>
                <w:lang w:val="es-CO" w:eastAsia="es-ES_tradnl"/>
                <w14:ligatures w14:val="none"/>
              </w:rPr>
              <w:t>Juez de Familia si en mismo distrito; Tribunales Sala Civil si distinto</w:t>
            </w:r>
            <w:r w:rsidRPr="00EF4D4C">
              <w:rPr>
                <w:rFonts w:ascii="Arial" w:eastAsia="Times New Roman" w:hAnsi="Arial" w:cs="Arial"/>
                <w:kern w:val="0"/>
                <w:lang w:eastAsia="es-ES_tradnl"/>
                <w14:ligatures w14:val="none"/>
              </w:rPr>
              <w:t> </w:t>
            </w:r>
          </w:p>
        </w:tc>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7DD9FD32" w14:textId="77777777" w:rsidR="00EE3142" w:rsidRPr="00EF4D4C" w:rsidRDefault="00EE3142" w:rsidP="00486CEF">
            <w:pPr>
              <w:spacing w:line="276" w:lineRule="auto"/>
              <w:textAlignment w:val="baseline"/>
              <w:rPr>
                <w:rFonts w:ascii="Arial" w:eastAsia="Times New Roman" w:hAnsi="Arial" w:cs="Arial"/>
                <w:kern w:val="0"/>
                <w:lang w:eastAsia="es-ES_tradnl"/>
                <w14:ligatures w14:val="none"/>
              </w:rPr>
            </w:pPr>
            <w:r w:rsidRPr="00EF4D4C">
              <w:rPr>
                <w:rFonts w:ascii="Arial" w:eastAsia="Times New Roman" w:hAnsi="Arial" w:cs="Arial"/>
                <w:kern w:val="0"/>
                <w:lang w:val="es-CO" w:eastAsia="es-ES_tradnl"/>
                <w14:ligatures w14:val="none"/>
              </w:rPr>
              <w:t>Tribunal Superior Antioquia 05376318400120250000101; art. 20 Ley 2126; art. 28 CGP.</w:t>
            </w:r>
            <w:r w:rsidRPr="00EF4D4C">
              <w:rPr>
                <w:rFonts w:ascii="Arial" w:eastAsia="Times New Roman" w:hAnsi="Arial" w:cs="Arial"/>
                <w:kern w:val="0"/>
                <w:lang w:eastAsia="es-ES_tradnl"/>
                <w14:ligatures w14:val="none"/>
              </w:rPr>
              <w:t> </w:t>
            </w:r>
          </w:p>
        </w:tc>
        <w:tc>
          <w:tcPr>
            <w:tcW w:w="2125"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2ED36771" w14:textId="77777777" w:rsidR="00EE3142" w:rsidRPr="00EF4D4C" w:rsidRDefault="00EE3142" w:rsidP="00486CEF">
            <w:pPr>
              <w:spacing w:line="276" w:lineRule="auto"/>
              <w:textAlignment w:val="baseline"/>
              <w:rPr>
                <w:rFonts w:ascii="Arial" w:eastAsia="Times New Roman" w:hAnsi="Arial" w:cs="Arial"/>
                <w:kern w:val="0"/>
                <w:lang w:eastAsia="es-ES_tradnl"/>
                <w14:ligatures w14:val="none"/>
              </w:rPr>
            </w:pPr>
            <w:r w:rsidRPr="00EF4D4C">
              <w:rPr>
                <w:rFonts w:ascii="Arial" w:eastAsia="Times New Roman" w:hAnsi="Arial" w:cs="Arial"/>
                <w:kern w:val="0"/>
                <w:lang w:val="es-CO" w:eastAsia="es-ES_tradnl"/>
                <w14:ligatures w14:val="none"/>
              </w:rPr>
              <w:t>Comisaría del domicilio de la víctima tiene la competencia definitiva. </w:t>
            </w:r>
            <w:r w:rsidRPr="00EF4D4C">
              <w:rPr>
                <w:rFonts w:ascii="Arial" w:eastAsia="Times New Roman" w:hAnsi="Arial" w:cs="Arial"/>
                <w:kern w:val="0"/>
                <w:lang w:eastAsia="es-ES_tradnl"/>
                <w14:ligatures w14:val="none"/>
              </w:rPr>
              <w:t> </w:t>
            </w:r>
          </w:p>
        </w:tc>
      </w:tr>
      <w:tr w:rsidR="00EE3142" w:rsidRPr="00EF4D4C" w14:paraId="1FF7E0FD" w14:textId="77777777" w:rsidTr="00F64A22">
        <w:trPr>
          <w:trHeight w:val="300"/>
        </w:trPr>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10898593" w14:textId="77777777" w:rsidR="00EE3142" w:rsidRPr="00EF4D4C" w:rsidRDefault="00EE3142" w:rsidP="00486CEF">
            <w:pPr>
              <w:spacing w:line="276" w:lineRule="auto"/>
              <w:textAlignment w:val="baseline"/>
              <w:rPr>
                <w:rFonts w:ascii="Arial" w:eastAsia="Times New Roman" w:hAnsi="Arial" w:cs="Arial"/>
                <w:b/>
                <w:bCs/>
                <w:kern w:val="0"/>
                <w:lang w:eastAsia="es-ES_tradnl"/>
                <w14:ligatures w14:val="none"/>
              </w:rPr>
            </w:pPr>
            <w:r w:rsidRPr="00EF4D4C">
              <w:rPr>
                <w:rFonts w:ascii="Arial" w:eastAsia="Times New Roman" w:hAnsi="Arial" w:cs="Arial"/>
                <w:b/>
                <w:bCs/>
                <w:kern w:val="0"/>
                <w:lang w:val="es-CO" w:eastAsia="es-ES_tradnl"/>
                <w14:ligatures w14:val="none"/>
              </w:rPr>
              <w:t>Defensoría ICBF vs. Comisaría (PARD / seguimiento)</w:t>
            </w:r>
            <w:r w:rsidRPr="00EF4D4C">
              <w:rPr>
                <w:rFonts w:ascii="Arial" w:eastAsia="Times New Roman" w:hAnsi="Arial" w:cs="Arial"/>
                <w:b/>
                <w:bCs/>
                <w:kern w:val="0"/>
                <w:lang w:eastAsia="es-ES_tradnl"/>
                <w14:ligatures w14:val="none"/>
              </w:rPr>
              <w:t> </w:t>
            </w:r>
          </w:p>
        </w:tc>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06D600CB" w14:textId="77777777" w:rsidR="00EE3142" w:rsidRPr="00EF4D4C" w:rsidRDefault="00EE3142" w:rsidP="00486CEF">
            <w:pPr>
              <w:spacing w:line="276" w:lineRule="auto"/>
              <w:textAlignment w:val="baseline"/>
              <w:rPr>
                <w:rFonts w:ascii="Arial" w:eastAsia="Times New Roman" w:hAnsi="Arial" w:cs="Arial"/>
                <w:kern w:val="0"/>
                <w:lang w:eastAsia="es-ES_tradnl"/>
                <w14:ligatures w14:val="none"/>
              </w:rPr>
            </w:pPr>
            <w:r w:rsidRPr="00EF4D4C">
              <w:rPr>
                <w:rFonts w:ascii="Arial" w:eastAsia="Times New Roman" w:hAnsi="Arial" w:cs="Arial"/>
                <w:kern w:val="0"/>
                <w:lang w:val="es-CO" w:eastAsia="es-ES_tradnl"/>
                <w14:ligatures w14:val="none"/>
              </w:rPr>
              <w:t>Consejo de Estado – Sala de Consulta / Tribunales</w:t>
            </w:r>
            <w:r w:rsidRPr="00EF4D4C">
              <w:rPr>
                <w:rFonts w:ascii="Arial" w:eastAsia="Times New Roman" w:hAnsi="Arial" w:cs="Arial"/>
                <w:kern w:val="0"/>
                <w:lang w:eastAsia="es-ES_tradnl"/>
                <w14:ligatures w14:val="none"/>
              </w:rPr>
              <w:t> </w:t>
            </w:r>
          </w:p>
        </w:tc>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5AE91B8D" w14:textId="77777777" w:rsidR="00EE3142" w:rsidRPr="00EF4D4C" w:rsidRDefault="00EE3142" w:rsidP="00486CEF">
            <w:pPr>
              <w:spacing w:line="276" w:lineRule="auto"/>
              <w:textAlignment w:val="baseline"/>
              <w:rPr>
                <w:rFonts w:ascii="Arial" w:eastAsia="Times New Roman" w:hAnsi="Arial" w:cs="Arial"/>
                <w:kern w:val="0"/>
                <w:lang w:eastAsia="es-ES_tradnl"/>
                <w14:ligatures w14:val="none"/>
              </w:rPr>
            </w:pPr>
            <w:r w:rsidRPr="00EF4D4C">
              <w:rPr>
                <w:rFonts w:ascii="Arial" w:eastAsia="Times New Roman" w:hAnsi="Arial" w:cs="Arial"/>
                <w:kern w:val="0"/>
                <w:lang w:val="es-CO" w:eastAsia="es-ES_tradnl"/>
                <w14:ligatures w14:val="none"/>
              </w:rPr>
              <w:t>Consejo de Estado 19/07/2023 Rad. 11001-03-06-000-2022-00296-00; CPACA arts. 39 y 112; art. 21 CGP.</w:t>
            </w:r>
            <w:r w:rsidRPr="00EF4D4C">
              <w:rPr>
                <w:rFonts w:ascii="Arial" w:eastAsia="Times New Roman" w:hAnsi="Arial" w:cs="Arial"/>
                <w:kern w:val="0"/>
                <w:lang w:eastAsia="es-ES_tradnl"/>
                <w14:ligatures w14:val="none"/>
              </w:rPr>
              <w:t> </w:t>
            </w:r>
          </w:p>
        </w:tc>
        <w:tc>
          <w:tcPr>
            <w:tcW w:w="2125"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3BD2C5B7" w14:textId="77777777" w:rsidR="00EE3142" w:rsidRPr="00EF4D4C" w:rsidRDefault="00EE3142" w:rsidP="00486CEF">
            <w:pPr>
              <w:spacing w:line="276" w:lineRule="auto"/>
              <w:textAlignment w:val="baseline"/>
              <w:rPr>
                <w:rFonts w:ascii="Arial" w:eastAsia="Times New Roman" w:hAnsi="Arial" w:cs="Arial"/>
                <w:kern w:val="0"/>
                <w:lang w:eastAsia="es-ES_tradnl"/>
                <w14:ligatures w14:val="none"/>
              </w:rPr>
            </w:pPr>
            <w:r w:rsidRPr="00EF4D4C">
              <w:rPr>
                <w:rFonts w:ascii="Arial" w:eastAsia="Times New Roman" w:hAnsi="Arial" w:cs="Arial"/>
                <w:kern w:val="0"/>
                <w:lang w:val="es-CO" w:eastAsia="es-ES_tradnl"/>
                <w14:ligatures w14:val="none"/>
              </w:rPr>
              <w:t>Priorizar continuidad de medidas; si hay choque, Sala de Consulta del Consejo de Estado o vía administrativa correspondiente. </w:t>
            </w:r>
            <w:r w:rsidRPr="00EF4D4C">
              <w:rPr>
                <w:rFonts w:ascii="Arial" w:eastAsia="Times New Roman" w:hAnsi="Arial" w:cs="Arial"/>
                <w:kern w:val="0"/>
                <w:lang w:eastAsia="es-ES_tradnl"/>
                <w14:ligatures w14:val="none"/>
              </w:rPr>
              <w:t> </w:t>
            </w:r>
          </w:p>
        </w:tc>
      </w:tr>
      <w:tr w:rsidR="00EE3142" w:rsidRPr="00EF4D4C" w14:paraId="1F323ADA" w14:textId="77777777" w:rsidTr="00F64A22">
        <w:trPr>
          <w:trHeight w:val="300"/>
        </w:trPr>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037F05C8" w14:textId="77777777" w:rsidR="00EE3142" w:rsidRPr="00EF4D4C" w:rsidRDefault="00EE3142" w:rsidP="00486CEF">
            <w:pPr>
              <w:spacing w:line="276" w:lineRule="auto"/>
              <w:textAlignment w:val="baseline"/>
              <w:rPr>
                <w:rFonts w:ascii="Arial" w:eastAsia="Times New Roman" w:hAnsi="Arial" w:cs="Arial"/>
                <w:b/>
                <w:bCs/>
                <w:kern w:val="0"/>
                <w:lang w:eastAsia="es-ES_tradnl"/>
                <w14:ligatures w14:val="none"/>
              </w:rPr>
            </w:pPr>
            <w:r w:rsidRPr="00EF4D4C">
              <w:rPr>
                <w:rFonts w:ascii="Arial" w:eastAsia="Times New Roman" w:hAnsi="Arial" w:cs="Arial"/>
                <w:b/>
                <w:bCs/>
                <w:kern w:val="0"/>
                <w:lang w:val="es-CO" w:eastAsia="es-ES_tradnl"/>
                <w14:ligatures w14:val="none"/>
              </w:rPr>
              <w:t>Entre autoridades administrativas en mismo territorio</w:t>
            </w:r>
            <w:r w:rsidRPr="00EF4D4C">
              <w:rPr>
                <w:rFonts w:ascii="Arial" w:eastAsia="Times New Roman" w:hAnsi="Arial" w:cs="Arial"/>
                <w:b/>
                <w:bCs/>
                <w:kern w:val="0"/>
                <w:lang w:eastAsia="es-ES_tradnl"/>
                <w14:ligatures w14:val="none"/>
              </w:rPr>
              <w:t> </w:t>
            </w:r>
          </w:p>
        </w:tc>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3B0D8227" w14:textId="77777777" w:rsidR="00EE3142" w:rsidRPr="00EF4D4C" w:rsidRDefault="00EE3142" w:rsidP="00486CEF">
            <w:pPr>
              <w:spacing w:line="276" w:lineRule="auto"/>
              <w:textAlignment w:val="baseline"/>
              <w:rPr>
                <w:rFonts w:ascii="Arial" w:eastAsia="Times New Roman" w:hAnsi="Arial" w:cs="Arial"/>
                <w:kern w:val="0"/>
                <w:lang w:eastAsia="es-ES_tradnl"/>
                <w14:ligatures w14:val="none"/>
              </w:rPr>
            </w:pPr>
            <w:r w:rsidRPr="00EF4D4C">
              <w:rPr>
                <w:rFonts w:ascii="Arial" w:eastAsia="Times New Roman" w:hAnsi="Arial" w:cs="Arial"/>
                <w:kern w:val="0"/>
                <w:lang w:val="es-CO" w:eastAsia="es-ES_tradnl"/>
                <w14:ligatures w14:val="none"/>
              </w:rPr>
              <w:t>Juez de Familia</w:t>
            </w:r>
            <w:r w:rsidRPr="00EF4D4C">
              <w:rPr>
                <w:rFonts w:ascii="Arial" w:eastAsia="Times New Roman" w:hAnsi="Arial" w:cs="Arial"/>
                <w:kern w:val="0"/>
                <w:lang w:eastAsia="es-ES_tradnl"/>
                <w14:ligatures w14:val="none"/>
              </w:rPr>
              <w:t> </w:t>
            </w:r>
          </w:p>
        </w:tc>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1046EA5D" w14:textId="77777777" w:rsidR="00EE3142" w:rsidRPr="00EF4D4C" w:rsidRDefault="00EE3142" w:rsidP="00486CEF">
            <w:pPr>
              <w:spacing w:line="276" w:lineRule="auto"/>
              <w:textAlignment w:val="baseline"/>
              <w:rPr>
                <w:rFonts w:ascii="Arial" w:eastAsia="Times New Roman" w:hAnsi="Arial" w:cs="Arial"/>
                <w:kern w:val="0"/>
                <w:lang w:eastAsia="es-ES_tradnl"/>
                <w14:ligatures w14:val="none"/>
              </w:rPr>
            </w:pPr>
            <w:r w:rsidRPr="00EF4D4C">
              <w:rPr>
                <w:rFonts w:ascii="Arial" w:eastAsia="Times New Roman" w:hAnsi="Arial" w:cs="Arial"/>
                <w:kern w:val="0"/>
                <w:lang w:val="es-CO" w:eastAsia="es-ES_tradnl"/>
                <w14:ligatures w14:val="none"/>
              </w:rPr>
              <w:t>Consejo de Estado – Auto 09/06/2021; art. 21 CGP.</w:t>
            </w:r>
            <w:r w:rsidRPr="00EF4D4C">
              <w:rPr>
                <w:rFonts w:ascii="Arial" w:eastAsia="Times New Roman" w:hAnsi="Arial" w:cs="Arial"/>
                <w:kern w:val="0"/>
                <w:lang w:eastAsia="es-ES_tradnl"/>
                <w14:ligatures w14:val="none"/>
              </w:rPr>
              <w:t> </w:t>
            </w:r>
          </w:p>
        </w:tc>
        <w:tc>
          <w:tcPr>
            <w:tcW w:w="2125"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0B999D3F" w14:textId="77777777" w:rsidR="00EE3142" w:rsidRPr="00EF4D4C" w:rsidRDefault="00EE3142" w:rsidP="00486CEF">
            <w:pPr>
              <w:spacing w:line="276" w:lineRule="auto"/>
              <w:textAlignment w:val="baseline"/>
              <w:rPr>
                <w:rFonts w:ascii="Arial" w:eastAsia="Times New Roman" w:hAnsi="Arial" w:cs="Arial"/>
                <w:kern w:val="0"/>
                <w:lang w:eastAsia="es-ES_tradnl"/>
                <w14:ligatures w14:val="none"/>
              </w:rPr>
            </w:pPr>
            <w:r w:rsidRPr="00EF4D4C">
              <w:rPr>
                <w:rFonts w:ascii="Arial" w:eastAsia="Times New Roman" w:hAnsi="Arial" w:cs="Arial"/>
                <w:kern w:val="0"/>
                <w:lang w:val="es-CO" w:eastAsia="es-ES_tradnl"/>
                <w14:ligatures w14:val="none"/>
              </w:rPr>
              <w:t>Llevar conflicto a juez de familia; si entre órdenes diferentes, Sala de Consulta. </w:t>
            </w:r>
            <w:r w:rsidRPr="00EF4D4C">
              <w:rPr>
                <w:rFonts w:ascii="Arial" w:eastAsia="Times New Roman" w:hAnsi="Arial" w:cs="Arial"/>
                <w:kern w:val="0"/>
                <w:lang w:eastAsia="es-ES_tradnl"/>
                <w14:ligatures w14:val="none"/>
              </w:rPr>
              <w:t> </w:t>
            </w:r>
          </w:p>
        </w:tc>
      </w:tr>
      <w:tr w:rsidR="00EE3142" w:rsidRPr="00EF4D4C" w14:paraId="723D4B42" w14:textId="77777777" w:rsidTr="00F64A22">
        <w:trPr>
          <w:trHeight w:val="300"/>
        </w:trPr>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6508832D" w14:textId="77777777" w:rsidR="00EE3142" w:rsidRPr="00EF4D4C" w:rsidRDefault="00EE3142" w:rsidP="00486CEF">
            <w:pPr>
              <w:spacing w:line="276" w:lineRule="auto"/>
              <w:textAlignment w:val="baseline"/>
              <w:rPr>
                <w:rFonts w:ascii="Arial" w:eastAsia="Times New Roman" w:hAnsi="Arial" w:cs="Arial"/>
                <w:b/>
                <w:bCs/>
                <w:kern w:val="0"/>
                <w:lang w:eastAsia="es-ES_tradnl"/>
                <w14:ligatures w14:val="none"/>
              </w:rPr>
            </w:pPr>
            <w:r w:rsidRPr="00EF4D4C">
              <w:rPr>
                <w:rFonts w:ascii="Arial" w:eastAsia="Times New Roman" w:hAnsi="Arial" w:cs="Arial"/>
                <w:b/>
                <w:bCs/>
                <w:kern w:val="0"/>
                <w:lang w:val="es-CO" w:eastAsia="es-ES_tradnl"/>
                <w14:ligatures w14:val="none"/>
              </w:rPr>
              <w:t>Entre comisarios de diferentes jurisdicciones (jurisdiccional)</w:t>
            </w:r>
            <w:r w:rsidRPr="00EF4D4C">
              <w:rPr>
                <w:rFonts w:ascii="Arial" w:eastAsia="Times New Roman" w:hAnsi="Arial" w:cs="Arial"/>
                <w:b/>
                <w:bCs/>
                <w:kern w:val="0"/>
                <w:lang w:eastAsia="es-ES_tradnl"/>
                <w14:ligatures w14:val="none"/>
              </w:rPr>
              <w:t> </w:t>
            </w:r>
          </w:p>
        </w:tc>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129D4837" w14:textId="77777777" w:rsidR="00EE3142" w:rsidRPr="00EF4D4C" w:rsidRDefault="00EE3142" w:rsidP="00486CEF">
            <w:pPr>
              <w:spacing w:line="276" w:lineRule="auto"/>
              <w:textAlignment w:val="baseline"/>
              <w:rPr>
                <w:rFonts w:ascii="Arial" w:eastAsia="Times New Roman" w:hAnsi="Arial" w:cs="Arial"/>
                <w:kern w:val="0"/>
                <w:lang w:eastAsia="es-ES_tradnl"/>
                <w14:ligatures w14:val="none"/>
              </w:rPr>
            </w:pPr>
            <w:r w:rsidRPr="00EF4D4C">
              <w:rPr>
                <w:rFonts w:ascii="Arial" w:eastAsia="Times New Roman" w:hAnsi="Arial" w:cs="Arial"/>
                <w:kern w:val="0"/>
                <w:lang w:val="es-CO" w:eastAsia="es-ES_tradnl"/>
                <w14:ligatures w14:val="none"/>
              </w:rPr>
              <w:t>Sala de Casación Civil – Corte Suprema</w:t>
            </w:r>
            <w:r w:rsidRPr="00EF4D4C">
              <w:rPr>
                <w:rFonts w:ascii="Arial" w:eastAsia="Times New Roman" w:hAnsi="Arial" w:cs="Arial"/>
                <w:kern w:val="0"/>
                <w:lang w:eastAsia="es-ES_tradnl"/>
                <w14:ligatures w14:val="none"/>
              </w:rPr>
              <w:t> </w:t>
            </w:r>
          </w:p>
        </w:tc>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36E82AEA" w14:textId="77777777" w:rsidR="00EE3142" w:rsidRPr="00EF4D4C" w:rsidRDefault="00EE3142" w:rsidP="00486CEF">
            <w:pPr>
              <w:spacing w:line="276" w:lineRule="auto"/>
              <w:textAlignment w:val="baseline"/>
              <w:rPr>
                <w:rFonts w:ascii="Arial" w:eastAsia="Times New Roman" w:hAnsi="Arial" w:cs="Arial"/>
                <w:kern w:val="0"/>
                <w:lang w:val="en-US" w:eastAsia="es-ES_tradnl"/>
                <w14:ligatures w14:val="none"/>
              </w:rPr>
            </w:pPr>
            <w:r w:rsidRPr="00EF4D4C">
              <w:rPr>
                <w:rFonts w:ascii="Arial" w:eastAsia="Times New Roman" w:hAnsi="Arial" w:cs="Arial"/>
                <w:kern w:val="0"/>
                <w:lang w:val="en-US" w:eastAsia="es-ES_tradnl"/>
                <w14:ligatures w14:val="none"/>
              </w:rPr>
              <w:t>Art. 28 CGP; art. 139 CGP (inc. 5º) </w:t>
            </w:r>
          </w:p>
        </w:tc>
        <w:tc>
          <w:tcPr>
            <w:tcW w:w="2125"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03C3310C" w14:textId="77777777" w:rsidR="00EE3142" w:rsidRPr="00EF4D4C" w:rsidRDefault="00EE3142" w:rsidP="00486CEF">
            <w:pPr>
              <w:spacing w:line="276" w:lineRule="auto"/>
              <w:textAlignment w:val="baseline"/>
              <w:rPr>
                <w:rFonts w:ascii="Arial" w:eastAsia="Times New Roman" w:hAnsi="Arial" w:cs="Arial"/>
                <w:kern w:val="0"/>
                <w:lang w:eastAsia="es-ES_tradnl"/>
                <w14:ligatures w14:val="none"/>
              </w:rPr>
            </w:pPr>
            <w:r w:rsidRPr="00EF4D4C">
              <w:rPr>
                <w:rFonts w:ascii="Arial" w:eastAsia="Times New Roman" w:hAnsi="Arial" w:cs="Arial"/>
                <w:kern w:val="0"/>
                <w:lang w:val="es-CO" w:eastAsia="es-ES_tradnl"/>
                <w14:ligatures w14:val="none"/>
              </w:rPr>
              <w:t>Cuando ambas ejercen jurisdiccionalidad en distintos distritos, Corte Suprema por analogía. </w:t>
            </w:r>
            <w:r w:rsidRPr="00EF4D4C">
              <w:rPr>
                <w:rFonts w:ascii="Arial" w:eastAsia="Times New Roman" w:hAnsi="Arial" w:cs="Arial"/>
                <w:kern w:val="0"/>
                <w:lang w:eastAsia="es-ES_tradnl"/>
                <w14:ligatures w14:val="none"/>
              </w:rPr>
              <w:t> </w:t>
            </w:r>
          </w:p>
        </w:tc>
      </w:tr>
      <w:tr w:rsidR="00EE3142" w:rsidRPr="00EF4D4C" w14:paraId="46E6124A" w14:textId="77777777" w:rsidTr="00F64A22">
        <w:trPr>
          <w:trHeight w:val="300"/>
        </w:trPr>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347D2222" w14:textId="77777777" w:rsidR="00EE3142" w:rsidRPr="00EF4D4C" w:rsidRDefault="00EE3142" w:rsidP="00486CEF">
            <w:pPr>
              <w:spacing w:line="276" w:lineRule="auto"/>
              <w:textAlignment w:val="baseline"/>
              <w:rPr>
                <w:rFonts w:ascii="Arial" w:eastAsia="Times New Roman" w:hAnsi="Arial" w:cs="Arial"/>
                <w:b/>
                <w:bCs/>
                <w:kern w:val="0"/>
                <w:lang w:eastAsia="es-ES_tradnl"/>
                <w14:ligatures w14:val="none"/>
              </w:rPr>
            </w:pPr>
            <w:r w:rsidRPr="00EF4D4C">
              <w:rPr>
                <w:rFonts w:ascii="Arial" w:eastAsia="Times New Roman" w:hAnsi="Arial" w:cs="Arial"/>
                <w:b/>
                <w:bCs/>
                <w:kern w:val="0"/>
                <w:lang w:val="es-CO" w:eastAsia="es-ES_tradnl"/>
                <w14:ligatures w14:val="none"/>
              </w:rPr>
              <w:t>Comisaría vs. Defensoría (adulto mayor)</w:t>
            </w:r>
            <w:r w:rsidRPr="00EF4D4C">
              <w:rPr>
                <w:rFonts w:ascii="Arial" w:eastAsia="Times New Roman" w:hAnsi="Arial" w:cs="Arial"/>
                <w:b/>
                <w:bCs/>
                <w:kern w:val="0"/>
                <w:lang w:eastAsia="es-ES_tradnl"/>
                <w14:ligatures w14:val="none"/>
              </w:rPr>
              <w:t> </w:t>
            </w:r>
          </w:p>
        </w:tc>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3F932F45" w14:textId="77777777" w:rsidR="00EE3142" w:rsidRPr="00EF4D4C" w:rsidRDefault="00EE3142" w:rsidP="00486CEF">
            <w:pPr>
              <w:spacing w:line="276" w:lineRule="auto"/>
              <w:textAlignment w:val="baseline"/>
              <w:rPr>
                <w:rFonts w:ascii="Arial" w:eastAsia="Times New Roman" w:hAnsi="Arial" w:cs="Arial"/>
                <w:kern w:val="0"/>
                <w:lang w:eastAsia="es-ES_tradnl"/>
                <w14:ligatures w14:val="none"/>
              </w:rPr>
            </w:pPr>
            <w:r w:rsidRPr="00EF4D4C">
              <w:rPr>
                <w:rFonts w:ascii="Arial" w:eastAsia="Times New Roman" w:hAnsi="Arial" w:cs="Arial"/>
                <w:kern w:val="0"/>
                <w:lang w:val="es-CO" w:eastAsia="es-ES_tradnl"/>
                <w14:ligatures w14:val="none"/>
              </w:rPr>
              <w:t>No procede subsidiaria; competencia según ley asignada</w:t>
            </w:r>
            <w:r w:rsidRPr="00EF4D4C">
              <w:rPr>
                <w:rFonts w:ascii="Arial" w:eastAsia="Times New Roman" w:hAnsi="Arial" w:cs="Arial"/>
                <w:kern w:val="0"/>
                <w:lang w:eastAsia="es-ES_tradnl"/>
                <w14:ligatures w14:val="none"/>
              </w:rPr>
              <w:t> </w:t>
            </w:r>
          </w:p>
        </w:tc>
        <w:tc>
          <w:tcPr>
            <w:tcW w:w="2124"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0C893765" w14:textId="77777777" w:rsidR="00EE3142" w:rsidRPr="00EF4D4C" w:rsidRDefault="00EE3142" w:rsidP="00486CEF">
            <w:pPr>
              <w:spacing w:line="276" w:lineRule="auto"/>
              <w:textAlignment w:val="baseline"/>
              <w:rPr>
                <w:rFonts w:ascii="Arial" w:eastAsia="Times New Roman" w:hAnsi="Arial" w:cs="Arial"/>
                <w:kern w:val="0"/>
                <w:lang w:eastAsia="es-ES_tradnl"/>
                <w14:ligatures w14:val="none"/>
              </w:rPr>
            </w:pPr>
            <w:r w:rsidRPr="00EF4D4C">
              <w:rPr>
                <w:rFonts w:ascii="Arial" w:eastAsia="Times New Roman" w:hAnsi="Arial" w:cs="Arial"/>
                <w:kern w:val="0"/>
                <w:lang w:val="es-CO" w:eastAsia="es-ES_tradnl"/>
                <w14:ligatures w14:val="none"/>
              </w:rPr>
              <w:t>ICBF Concepto 26/2021</w:t>
            </w:r>
            <w:r w:rsidRPr="00EF4D4C">
              <w:rPr>
                <w:rFonts w:ascii="Arial" w:eastAsia="Times New Roman" w:hAnsi="Arial" w:cs="Arial"/>
                <w:kern w:val="0"/>
                <w:lang w:eastAsia="es-ES_tradnl"/>
                <w14:ligatures w14:val="none"/>
              </w:rPr>
              <w:t> </w:t>
            </w:r>
          </w:p>
        </w:tc>
        <w:tc>
          <w:tcPr>
            <w:tcW w:w="2125" w:type="dxa"/>
            <w:tcBorders>
              <w:top w:val="single" w:sz="6" w:space="0" w:color="auto"/>
              <w:left w:val="single" w:sz="6" w:space="0" w:color="auto"/>
              <w:bottom w:val="single" w:sz="6" w:space="0" w:color="auto"/>
              <w:right w:val="single" w:sz="6" w:space="0" w:color="auto"/>
            </w:tcBorders>
            <w:shd w:val="clear" w:color="auto" w:fill="AEBFD6"/>
            <w:vAlign w:val="center"/>
            <w:hideMark/>
          </w:tcPr>
          <w:p w14:paraId="071EE28E" w14:textId="77777777" w:rsidR="00EE3142" w:rsidRPr="00EF4D4C" w:rsidRDefault="00EE3142" w:rsidP="00486CEF">
            <w:pPr>
              <w:spacing w:line="276" w:lineRule="auto"/>
              <w:textAlignment w:val="baseline"/>
              <w:rPr>
                <w:rFonts w:ascii="Arial" w:eastAsia="Times New Roman" w:hAnsi="Arial" w:cs="Arial"/>
                <w:kern w:val="0"/>
                <w:lang w:eastAsia="es-ES_tradnl"/>
                <w14:ligatures w14:val="none"/>
              </w:rPr>
            </w:pPr>
            <w:r w:rsidRPr="00EF4D4C">
              <w:rPr>
                <w:rFonts w:ascii="Arial" w:eastAsia="Times New Roman" w:hAnsi="Arial" w:cs="Arial"/>
                <w:kern w:val="0"/>
                <w:lang w:val="es-CO" w:eastAsia="es-ES_tradnl"/>
                <w14:ligatures w14:val="none"/>
              </w:rPr>
              <w:t>No aplicar subsidiariedad para adulto mayor; seguir rutas del defensor/ICBF.</w:t>
            </w:r>
            <w:r w:rsidRPr="00EF4D4C">
              <w:rPr>
                <w:rFonts w:ascii="Arial" w:eastAsia="Times New Roman" w:hAnsi="Arial" w:cs="Arial"/>
                <w:kern w:val="0"/>
                <w:lang w:eastAsia="es-ES_tradnl"/>
                <w14:ligatures w14:val="none"/>
              </w:rPr>
              <w:t> </w:t>
            </w:r>
          </w:p>
        </w:tc>
      </w:tr>
    </w:tbl>
    <w:p w14:paraId="4D0B3422" w14:textId="77777777" w:rsidR="00611E7B" w:rsidRPr="00EF4D4C" w:rsidRDefault="00611E7B" w:rsidP="00611E7B">
      <w:pPr>
        <w:spacing w:line="276" w:lineRule="auto"/>
        <w:jc w:val="center"/>
        <w:rPr>
          <w:rFonts w:ascii="Arial" w:eastAsia="Times New Roman" w:hAnsi="Arial" w:cs="Arial"/>
          <w:b/>
          <w:bCs/>
          <w:color w:val="000000" w:themeColor="text1"/>
          <w:kern w:val="0"/>
          <w:lang w:eastAsia="es-ES_tradnl"/>
          <w14:ligatures w14:val="none"/>
        </w:rPr>
      </w:pPr>
      <w:r w:rsidRPr="00EF4D4C">
        <w:rPr>
          <w:rFonts w:ascii="Arial" w:eastAsia="Times New Roman" w:hAnsi="Arial" w:cs="Arial"/>
          <w:b/>
          <w:bCs/>
          <w:color w:val="000000" w:themeColor="text1"/>
          <w:kern w:val="0"/>
          <w:lang w:eastAsia="es-ES_tradnl"/>
          <w14:ligatures w14:val="none"/>
        </w:rPr>
        <w:t>Elaboración propia, Consorcio Red de Comisarias 2025</w:t>
      </w:r>
    </w:p>
    <w:p w14:paraId="065AC096" w14:textId="11041909" w:rsidR="5368BBF5" w:rsidRPr="00EF4D4C" w:rsidRDefault="5368BBF5" w:rsidP="00486CEF">
      <w:pPr>
        <w:spacing w:line="276" w:lineRule="auto"/>
        <w:rPr>
          <w:rFonts w:ascii="Arial" w:hAnsi="Arial" w:cs="Arial"/>
        </w:rPr>
      </w:pPr>
    </w:p>
    <w:p w14:paraId="7FFD2825" w14:textId="36387908" w:rsidR="2858963D" w:rsidRPr="00EF4D4C" w:rsidRDefault="2858963D" w:rsidP="00486CEF">
      <w:pPr>
        <w:spacing w:line="276" w:lineRule="auto"/>
        <w:rPr>
          <w:rFonts w:ascii="Arial" w:hAnsi="Arial" w:cs="Arial"/>
        </w:rPr>
      </w:pPr>
      <w:r w:rsidRPr="00EF4D4C">
        <w:rPr>
          <w:rFonts w:ascii="Arial" w:eastAsia="Century Gothic" w:hAnsi="Arial" w:cs="Arial"/>
          <w:b/>
          <w:bCs/>
        </w:rPr>
        <w:t xml:space="preserve">Las comisarías de Familia y el Sistema Nacional de Justicia Familiar. </w:t>
      </w:r>
    </w:p>
    <w:p w14:paraId="04386172" w14:textId="00BDE66A" w:rsidR="5368BBF5" w:rsidRPr="00EF4D4C" w:rsidRDefault="5368BBF5" w:rsidP="00486CEF">
      <w:pPr>
        <w:spacing w:line="276" w:lineRule="auto"/>
        <w:rPr>
          <w:rFonts w:ascii="Arial" w:eastAsia="Century Gothic" w:hAnsi="Arial" w:cs="Arial"/>
          <w:b/>
          <w:bCs/>
        </w:rPr>
      </w:pPr>
    </w:p>
    <w:p w14:paraId="33556829" w14:textId="155A5EB9" w:rsidR="59CA59F0" w:rsidRPr="00EF4D4C" w:rsidRDefault="59CA59F0" w:rsidP="004773A8">
      <w:pPr>
        <w:spacing w:line="276" w:lineRule="auto"/>
        <w:ind w:firstLine="720"/>
        <w:jc w:val="both"/>
        <w:rPr>
          <w:rFonts w:ascii="Arial" w:eastAsia="Century Gothic" w:hAnsi="Arial" w:cs="Arial"/>
        </w:rPr>
      </w:pPr>
      <w:r w:rsidRPr="00EF4D4C">
        <w:rPr>
          <w:rStyle w:val="Textoennegrita"/>
          <w:rFonts w:ascii="Arial" w:eastAsia="Century Gothic" w:hAnsi="Arial" w:cs="Arial"/>
          <w:b w:val="0"/>
          <w:bCs w:val="0"/>
          <w:color w:val="000000" w:themeColor="text1"/>
          <w:lang w:val="es-CO"/>
        </w:rPr>
        <w:t>El Sistema Nacional de Justicia Familiar (SNJF)</w:t>
      </w:r>
      <w:r w:rsidRPr="00EF4D4C">
        <w:rPr>
          <w:rFonts w:ascii="Arial" w:eastAsia="Century Gothic" w:hAnsi="Arial" w:cs="Arial"/>
          <w:b/>
          <w:bCs/>
          <w:color w:val="000000" w:themeColor="text1"/>
          <w:lang w:val="es-CO"/>
        </w:rPr>
        <w:t>,</w:t>
      </w:r>
      <w:r w:rsidRPr="00EF4D4C">
        <w:rPr>
          <w:rFonts w:ascii="Arial" w:eastAsia="Century Gothic" w:hAnsi="Arial" w:cs="Arial"/>
          <w:color w:val="000000" w:themeColor="text1"/>
          <w:lang w:val="es-CO"/>
        </w:rPr>
        <w:t xml:space="preserve"> establecido mediante el Decreto 1574 de 2024, integra a las instituciones públicas y privadas encargadas de garantizar el acceso a mecanismos judiciales y administrativos para resolver conflictos familiares. Su objetivo principal es asegurar la protección integral de </w:t>
      </w:r>
      <w:r w:rsidRPr="00EF4D4C">
        <w:rPr>
          <w:rFonts w:ascii="Arial" w:eastAsia="Century Gothic" w:hAnsi="Arial" w:cs="Arial"/>
          <w:color w:val="000000" w:themeColor="text1"/>
          <w:lang w:val="es-CO"/>
        </w:rPr>
        <w:lastRenderedPageBreak/>
        <w:t>los derechos en el ámbito familiar, a través de respuestas coordinadas, oportunas y con enfoque especializado.</w:t>
      </w:r>
    </w:p>
    <w:p w14:paraId="10482151" w14:textId="1DED69F7" w:rsidR="5368BBF5" w:rsidRPr="00EF4D4C" w:rsidRDefault="5368BBF5" w:rsidP="004773A8">
      <w:pPr>
        <w:spacing w:line="276" w:lineRule="auto"/>
        <w:ind w:firstLine="720"/>
        <w:rPr>
          <w:rFonts w:ascii="Arial" w:eastAsia="Century Gothic" w:hAnsi="Arial" w:cs="Arial"/>
          <w:b/>
          <w:bCs/>
        </w:rPr>
      </w:pPr>
    </w:p>
    <w:p w14:paraId="3D89751A" w14:textId="43BA7BBF" w:rsidR="2920BD02" w:rsidRPr="00EF4D4C" w:rsidRDefault="2920BD02" w:rsidP="004773A8">
      <w:pPr>
        <w:spacing w:line="276" w:lineRule="auto"/>
        <w:ind w:firstLine="720"/>
        <w:jc w:val="both"/>
        <w:rPr>
          <w:rFonts w:ascii="Arial" w:hAnsi="Arial" w:cs="Arial"/>
        </w:rPr>
      </w:pPr>
      <w:r w:rsidRPr="00EF4D4C">
        <w:rPr>
          <w:rFonts w:ascii="Arial" w:eastAsia="Century Gothic" w:hAnsi="Arial" w:cs="Arial"/>
        </w:rPr>
        <w:t xml:space="preserve">El Ministerio de Justicia y del Derecho reafirma su compromiso con el fortalecimiento de la justicia familiar como un eje para la garantía de derechos, la protección de las personas en riesgo y la convivencia pacífica en los hogares y comunidades. En ese marco, la Ley 2126 de 2021 fija un referente nacional para la organización y operación de las Comisarías de Familia y asigna al Ministerio responsabilidades directas para orientar su funcionamiento. En particular, la norma dispone que el Ministerio establezca los lineamientos para el diseño o rediseño institucional de las Comisarías de Familia, con el fin de mejorar los procesos de articulación y coordinación efectiva, asegurar una atención integral y oportuna a las víctimas de violencia familiar y definir medidas de protección orientadas a superar la violencia. </w:t>
      </w:r>
    </w:p>
    <w:p w14:paraId="277168AC" w14:textId="5808A10E" w:rsidR="5368BBF5" w:rsidRPr="00EF4D4C" w:rsidRDefault="5368BBF5" w:rsidP="004773A8">
      <w:pPr>
        <w:spacing w:line="276" w:lineRule="auto"/>
        <w:ind w:firstLine="720"/>
        <w:jc w:val="both"/>
        <w:rPr>
          <w:rFonts w:ascii="Arial" w:eastAsia="Century Gothic" w:hAnsi="Arial" w:cs="Arial"/>
        </w:rPr>
      </w:pPr>
    </w:p>
    <w:p w14:paraId="465E7B1F" w14:textId="55E2634A" w:rsidR="2920BD02" w:rsidRPr="00EF4D4C" w:rsidRDefault="2920BD02" w:rsidP="004773A8">
      <w:pPr>
        <w:spacing w:line="276" w:lineRule="auto"/>
        <w:ind w:firstLine="720"/>
        <w:jc w:val="both"/>
        <w:rPr>
          <w:rFonts w:ascii="Arial" w:hAnsi="Arial" w:cs="Arial"/>
        </w:rPr>
      </w:pPr>
      <w:r w:rsidRPr="00EF4D4C">
        <w:rPr>
          <w:rFonts w:ascii="Arial" w:eastAsia="Century Gothic" w:hAnsi="Arial" w:cs="Arial"/>
        </w:rPr>
        <w:t>Asimismo, la Ley 2126 de 2021 asigna al Ministerio funciones de conducción técnica y seguimiento que apoyan la coordinación entre entidades. Entre ellas, la creación y mantenimiento de un Sistema de Información para las Comisarías de Familia, destinado a registrar medidas de protección y sanciones, y a operar con criterios definidos en los lineamientos técnicos del propio Ministerio, incluyendo requerimientos de interoperabilidad con otros sistemas relacionados con violencia de género. Estas disposiciones permiten ordenar la información, facilitar el seguimiento institucional y respaldar decisiones que buscan proteger a las víctimas y hacer efectiva la respuesta del Sistema de Justicia Familiar en el territorio.</w:t>
      </w:r>
    </w:p>
    <w:p w14:paraId="361EE19E" w14:textId="5D7E9DF9" w:rsidR="5368BBF5" w:rsidRPr="00EF4D4C" w:rsidRDefault="5368BBF5" w:rsidP="00486CEF">
      <w:pPr>
        <w:spacing w:line="276" w:lineRule="auto"/>
        <w:jc w:val="both"/>
        <w:rPr>
          <w:rFonts w:ascii="Arial" w:eastAsia="Century Gothic" w:hAnsi="Arial" w:cs="Arial"/>
        </w:rPr>
      </w:pPr>
    </w:p>
    <w:p w14:paraId="2F88CE5B" w14:textId="39FF12CC" w:rsidR="5368BBF5" w:rsidRPr="00EF4D4C" w:rsidRDefault="007F5C59" w:rsidP="007F5C59">
      <w:pPr>
        <w:pStyle w:val="Descripcin"/>
        <w:jc w:val="center"/>
        <w:rPr>
          <w:rFonts w:ascii="Arial" w:eastAsia="Century Gothic" w:hAnsi="Arial" w:cs="Arial"/>
          <w:b/>
          <w:bCs/>
          <w:i w:val="0"/>
          <w:iCs w:val="0"/>
          <w:sz w:val="24"/>
          <w:szCs w:val="24"/>
        </w:rPr>
      </w:pPr>
      <w:bookmarkStart w:id="9" w:name="_Toc217301477"/>
      <w:r w:rsidRPr="00EF4D4C">
        <w:rPr>
          <w:rFonts w:ascii="Arial" w:hAnsi="Arial" w:cs="Arial"/>
          <w:b/>
          <w:bCs/>
          <w:i w:val="0"/>
          <w:iCs w:val="0"/>
          <w:color w:val="000000" w:themeColor="text1"/>
          <w:sz w:val="24"/>
          <w:szCs w:val="24"/>
        </w:rPr>
        <w:t xml:space="preserve">Tabla </w:t>
      </w:r>
      <w:r w:rsidRPr="00EF4D4C">
        <w:rPr>
          <w:rFonts w:ascii="Arial" w:hAnsi="Arial" w:cs="Arial"/>
          <w:b/>
          <w:bCs/>
          <w:i w:val="0"/>
          <w:iCs w:val="0"/>
          <w:color w:val="000000" w:themeColor="text1"/>
          <w:sz w:val="24"/>
          <w:szCs w:val="24"/>
        </w:rPr>
        <w:fldChar w:fldCharType="begin"/>
      </w:r>
      <w:r w:rsidRPr="00EF4D4C">
        <w:rPr>
          <w:rFonts w:ascii="Arial" w:hAnsi="Arial" w:cs="Arial"/>
          <w:b/>
          <w:bCs/>
          <w:i w:val="0"/>
          <w:iCs w:val="0"/>
          <w:color w:val="000000" w:themeColor="text1"/>
          <w:sz w:val="24"/>
          <w:szCs w:val="24"/>
        </w:rPr>
        <w:instrText xml:space="preserve"> SEQ Tabla \* ARABIC </w:instrText>
      </w:r>
      <w:r w:rsidRPr="00EF4D4C">
        <w:rPr>
          <w:rFonts w:ascii="Arial" w:hAnsi="Arial" w:cs="Arial"/>
          <w:b/>
          <w:bCs/>
          <w:i w:val="0"/>
          <w:iCs w:val="0"/>
          <w:color w:val="000000" w:themeColor="text1"/>
          <w:sz w:val="24"/>
          <w:szCs w:val="24"/>
        </w:rPr>
        <w:fldChar w:fldCharType="separate"/>
      </w:r>
      <w:r w:rsidRPr="00EF4D4C">
        <w:rPr>
          <w:rFonts w:ascii="Arial" w:hAnsi="Arial" w:cs="Arial"/>
          <w:b/>
          <w:bCs/>
          <w:i w:val="0"/>
          <w:iCs w:val="0"/>
          <w:noProof/>
          <w:color w:val="000000" w:themeColor="text1"/>
          <w:sz w:val="24"/>
          <w:szCs w:val="24"/>
        </w:rPr>
        <w:t>10</w:t>
      </w:r>
      <w:r w:rsidRPr="00EF4D4C">
        <w:rPr>
          <w:rFonts w:ascii="Arial" w:hAnsi="Arial" w:cs="Arial"/>
          <w:b/>
          <w:bCs/>
          <w:i w:val="0"/>
          <w:iCs w:val="0"/>
          <w:color w:val="000000" w:themeColor="text1"/>
          <w:sz w:val="24"/>
          <w:szCs w:val="24"/>
        </w:rPr>
        <w:fldChar w:fldCharType="end"/>
      </w:r>
      <w:r w:rsidRPr="00EF4D4C">
        <w:rPr>
          <w:rFonts w:ascii="Arial" w:hAnsi="Arial" w:cs="Arial"/>
          <w:b/>
          <w:bCs/>
          <w:i w:val="0"/>
          <w:iCs w:val="0"/>
          <w:color w:val="000000" w:themeColor="text1"/>
          <w:sz w:val="24"/>
          <w:szCs w:val="24"/>
        </w:rPr>
        <w:t>.</w:t>
      </w:r>
      <w:r w:rsidR="0C592A5F" w:rsidRPr="00EF4D4C">
        <w:rPr>
          <w:rFonts w:ascii="Arial" w:eastAsia="Century Gothic" w:hAnsi="Arial" w:cs="Arial"/>
          <w:b/>
          <w:bCs/>
          <w:i w:val="0"/>
          <w:iCs w:val="0"/>
          <w:color w:val="000000" w:themeColor="text1"/>
          <w:sz w:val="24"/>
          <w:szCs w:val="24"/>
        </w:rPr>
        <w:t>Actores del Sistema Nacional de Justicia Familiar</w:t>
      </w:r>
      <w:r w:rsidR="0477BC37" w:rsidRPr="00EF4D4C">
        <w:rPr>
          <w:rFonts w:ascii="Arial" w:eastAsia="Century Gothic" w:hAnsi="Arial" w:cs="Arial"/>
          <w:b/>
          <w:bCs/>
          <w:i w:val="0"/>
          <w:iCs w:val="0"/>
          <w:color w:val="000000" w:themeColor="text1"/>
          <w:sz w:val="24"/>
          <w:szCs w:val="24"/>
        </w:rPr>
        <w:t>.</w:t>
      </w:r>
      <w:bookmarkEnd w:id="9"/>
    </w:p>
    <w:p w14:paraId="3EE243B8" w14:textId="65565CD4" w:rsidR="5368BBF5" w:rsidRPr="00EF4D4C" w:rsidRDefault="0477BC37" w:rsidP="00486CEF">
      <w:pPr>
        <w:spacing w:line="276" w:lineRule="auto"/>
        <w:jc w:val="both"/>
        <w:rPr>
          <w:rFonts w:ascii="Arial" w:eastAsia="Segoe UI" w:hAnsi="Arial" w:cs="Arial"/>
          <w:color w:val="000000" w:themeColor="text1"/>
          <w:lang w:val="es-CO"/>
        </w:rPr>
      </w:pPr>
      <w:r w:rsidRPr="00EF4D4C">
        <w:rPr>
          <w:rFonts w:ascii="Arial" w:eastAsia="Century Gothic" w:hAnsi="Arial" w:cs="Arial"/>
          <w:color w:val="000000" w:themeColor="text1"/>
          <w:lang w:val="es-CO"/>
        </w:rPr>
        <w:t xml:space="preserve">Según cuatro dimensiones clave: su nivel de acción, naturaleza jurídica, el rol funcional que desempeñan y su relación operativa con las Comisarías de Familia: </w:t>
      </w:r>
    </w:p>
    <w:p w14:paraId="5DC67F89" w14:textId="0D82A4AB" w:rsidR="5368BBF5" w:rsidRPr="00EF4D4C" w:rsidRDefault="5368BBF5" w:rsidP="00486CEF">
      <w:pPr>
        <w:spacing w:line="276" w:lineRule="auto"/>
        <w:jc w:val="both"/>
        <w:rPr>
          <w:rFonts w:ascii="Arial" w:eastAsia="Century Gothic" w:hAnsi="Arial" w:cs="Arial"/>
          <w:b/>
          <w:bCs/>
        </w:rPr>
      </w:pPr>
    </w:p>
    <w:tbl>
      <w:tblPr>
        <w:tblStyle w:val="Tablaconcuadrcula"/>
        <w:tblW w:w="0" w:type="auto"/>
        <w:tblInd w:w="-450"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922"/>
        <w:gridCol w:w="1604"/>
        <w:gridCol w:w="1733"/>
        <w:gridCol w:w="1863"/>
        <w:gridCol w:w="1816"/>
      </w:tblGrid>
      <w:tr w:rsidR="5368BBF5" w:rsidRPr="00EF4D4C" w14:paraId="79E9D50D" w14:textId="77777777" w:rsidTr="007A3F75">
        <w:trPr>
          <w:trHeight w:val="300"/>
        </w:trPr>
        <w:tc>
          <w:tcPr>
            <w:tcW w:w="1980" w:type="dxa"/>
            <w:tcBorders>
              <w:top w:val="single" w:sz="6" w:space="0" w:color="auto"/>
              <w:left w:val="single" w:sz="6" w:space="0" w:color="auto"/>
              <w:bottom w:val="single" w:sz="6" w:space="0" w:color="auto"/>
              <w:right w:val="single" w:sz="6" w:space="0" w:color="auto"/>
            </w:tcBorders>
            <w:shd w:val="clear" w:color="auto" w:fill="1F3A5F"/>
            <w:tcMar>
              <w:left w:w="105" w:type="dxa"/>
              <w:right w:w="105" w:type="dxa"/>
            </w:tcMar>
          </w:tcPr>
          <w:p w14:paraId="46B1AECD" w14:textId="6D099FA1" w:rsidR="5368BBF5" w:rsidRPr="00EF4D4C" w:rsidRDefault="5368BBF5" w:rsidP="00486CEF">
            <w:pPr>
              <w:spacing w:line="276" w:lineRule="auto"/>
              <w:jc w:val="center"/>
              <w:rPr>
                <w:rFonts w:ascii="Arial" w:eastAsia="Century Gothic" w:hAnsi="Arial" w:cs="Arial"/>
                <w:color w:val="FFFFFF" w:themeColor="background1"/>
              </w:rPr>
            </w:pPr>
            <w:r w:rsidRPr="00EF4D4C">
              <w:rPr>
                <w:rFonts w:ascii="Arial" w:eastAsia="Century Gothic" w:hAnsi="Arial" w:cs="Arial"/>
                <w:b/>
                <w:bCs/>
                <w:color w:val="FFFFFF" w:themeColor="background1"/>
                <w:lang w:val="es-CO"/>
              </w:rPr>
              <w:t>Actor</w:t>
            </w:r>
          </w:p>
        </w:tc>
        <w:tc>
          <w:tcPr>
            <w:tcW w:w="1800" w:type="dxa"/>
            <w:tcBorders>
              <w:top w:val="single" w:sz="6" w:space="0" w:color="auto"/>
              <w:left w:val="single" w:sz="6" w:space="0" w:color="auto"/>
              <w:bottom w:val="single" w:sz="6" w:space="0" w:color="auto"/>
              <w:right w:val="single" w:sz="6" w:space="0" w:color="auto"/>
            </w:tcBorders>
            <w:shd w:val="clear" w:color="auto" w:fill="1F3A5F"/>
            <w:tcMar>
              <w:left w:w="105" w:type="dxa"/>
              <w:right w:w="105" w:type="dxa"/>
            </w:tcMar>
          </w:tcPr>
          <w:p w14:paraId="754446F0" w14:textId="61B7329F" w:rsidR="5368BBF5" w:rsidRPr="00EF4D4C" w:rsidRDefault="5368BBF5" w:rsidP="00486CEF">
            <w:pPr>
              <w:spacing w:line="276" w:lineRule="auto"/>
              <w:jc w:val="center"/>
              <w:rPr>
                <w:rFonts w:ascii="Arial" w:eastAsia="Century Gothic" w:hAnsi="Arial" w:cs="Arial"/>
                <w:color w:val="FFFFFF" w:themeColor="background1"/>
              </w:rPr>
            </w:pPr>
            <w:r w:rsidRPr="00EF4D4C">
              <w:rPr>
                <w:rFonts w:ascii="Arial" w:eastAsia="Century Gothic" w:hAnsi="Arial" w:cs="Arial"/>
                <w:b/>
                <w:bCs/>
                <w:color w:val="FFFFFF" w:themeColor="background1"/>
                <w:lang w:val="es-CO"/>
              </w:rPr>
              <w:t>Nivel de acción</w:t>
            </w:r>
          </w:p>
        </w:tc>
        <w:tc>
          <w:tcPr>
            <w:tcW w:w="1590" w:type="dxa"/>
            <w:tcBorders>
              <w:top w:val="single" w:sz="6" w:space="0" w:color="auto"/>
              <w:left w:val="single" w:sz="6" w:space="0" w:color="auto"/>
              <w:bottom w:val="single" w:sz="6" w:space="0" w:color="auto"/>
              <w:right w:val="single" w:sz="6" w:space="0" w:color="auto"/>
            </w:tcBorders>
            <w:shd w:val="clear" w:color="auto" w:fill="1F3A5F"/>
            <w:tcMar>
              <w:left w:w="105" w:type="dxa"/>
              <w:right w:w="105" w:type="dxa"/>
            </w:tcMar>
          </w:tcPr>
          <w:p w14:paraId="01076277" w14:textId="2609D0E8" w:rsidR="5368BBF5" w:rsidRPr="00EF4D4C" w:rsidRDefault="5368BBF5" w:rsidP="00486CEF">
            <w:pPr>
              <w:spacing w:line="276" w:lineRule="auto"/>
              <w:jc w:val="center"/>
              <w:rPr>
                <w:rFonts w:ascii="Arial" w:eastAsia="Century Gothic" w:hAnsi="Arial" w:cs="Arial"/>
                <w:color w:val="FFFFFF" w:themeColor="background1"/>
              </w:rPr>
            </w:pPr>
            <w:r w:rsidRPr="00EF4D4C">
              <w:rPr>
                <w:rFonts w:ascii="Arial" w:eastAsia="Century Gothic" w:hAnsi="Arial" w:cs="Arial"/>
                <w:b/>
                <w:bCs/>
                <w:color w:val="FFFFFF" w:themeColor="background1"/>
                <w:lang w:val="es-CO"/>
              </w:rPr>
              <w:t>Naturaleza jurídica</w:t>
            </w:r>
          </w:p>
        </w:tc>
        <w:tc>
          <w:tcPr>
            <w:tcW w:w="2115" w:type="dxa"/>
            <w:tcBorders>
              <w:top w:val="single" w:sz="6" w:space="0" w:color="auto"/>
              <w:left w:val="single" w:sz="6" w:space="0" w:color="auto"/>
              <w:bottom w:val="single" w:sz="6" w:space="0" w:color="auto"/>
              <w:right w:val="single" w:sz="6" w:space="0" w:color="auto"/>
            </w:tcBorders>
            <w:shd w:val="clear" w:color="auto" w:fill="1F3A5F"/>
            <w:tcMar>
              <w:left w:w="105" w:type="dxa"/>
              <w:right w:w="105" w:type="dxa"/>
            </w:tcMar>
          </w:tcPr>
          <w:p w14:paraId="42C1B19B" w14:textId="5B8EE528" w:rsidR="5368BBF5" w:rsidRPr="00EF4D4C" w:rsidRDefault="5368BBF5" w:rsidP="00486CEF">
            <w:pPr>
              <w:spacing w:line="276" w:lineRule="auto"/>
              <w:jc w:val="center"/>
              <w:rPr>
                <w:rFonts w:ascii="Arial" w:eastAsia="Century Gothic" w:hAnsi="Arial" w:cs="Arial"/>
                <w:color w:val="FFFFFF" w:themeColor="background1"/>
              </w:rPr>
            </w:pPr>
            <w:r w:rsidRPr="00EF4D4C">
              <w:rPr>
                <w:rFonts w:ascii="Arial" w:eastAsia="Century Gothic" w:hAnsi="Arial" w:cs="Arial"/>
                <w:b/>
                <w:bCs/>
                <w:color w:val="FFFFFF" w:themeColor="background1"/>
                <w:lang w:val="es-CO"/>
              </w:rPr>
              <w:t>Rol funcional</w:t>
            </w:r>
          </w:p>
        </w:tc>
        <w:tc>
          <w:tcPr>
            <w:tcW w:w="1830" w:type="dxa"/>
            <w:tcBorders>
              <w:top w:val="single" w:sz="6" w:space="0" w:color="auto"/>
              <w:left w:val="single" w:sz="6" w:space="0" w:color="auto"/>
              <w:bottom w:val="single" w:sz="6" w:space="0" w:color="auto"/>
              <w:right w:val="single" w:sz="6" w:space="0" w:color="auto"/>
            </w:tcBorders>
            <w:shd w:val="clear" w:color="auto" w:fill="1F3A5F"/>
            <w:tcMar>
              <w:left w:w="105" w:type="dxa"/>
              <w:right w:w="105" w:type="dxa"/>
            </w:tcMar>
          </w:tcPr>
          <w:p w14:paraId="4E2F9E22" w14:textId="732E580E" w:rsidR="5368BBF5" w:rsidRPr="00EF4D4C" w:rsidRDefault="5368BBF5" w:rsidP="00486CEF">
            <w:pPr>
              <w:spacing w:line="276" w:lineRule="auto"/>
              <w:jc w:val="center"/>
              <w:rPr>
                <w:rFonts w:ascii="Arial" w:eastAsia="Century Gothic" w:hAnsi="Arial" w:cs="Arial"/>
                <w:color w:val="FFFFFF" w:themeColor="background1"/>
              </w:rPr>
            </w:pPr>
            <w:r w:rsidRPr="00EF4D4C">
              <w:rPr>
                <w:rFonts w:ascii="Arial" w:eastAsia="Century Gothic" w:hAnsi="Arial" w:cs="Arial"/>
                <w:b/>
                <w:bCs/>
                <w:color w:val="FFFFFF" w:themeColor="background1"/>
                <w:lang w:val="es-CO"/>
              </w:rPr>
              <w:t>Relación con Comisarías de Familia</w:t>
            </w:r>
          </w:p>
        </w:tc>
      </w:tr>
      <w:tr w:rsidR="5368BBF5" w:rsidRPr="00EF4D4C" w14:paraId="0B717A45" w14:textId="77777777" w:rsidTr="00F64A22">
        <w:trPr>
          <w:trHeight w:val="300"/>
        </w:trPr>
        <w:tc>
          <w:tcPr>
            <w:tcW w:w="198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673037A1" w14:textId="5EF4026A"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b/>
                <w:bCs/>
                <w:color w:val="000000" w:themeColor="text1"/>
                <w:lang w:val="es-CO"/>
              </w:rPr>
              <w:t>Juzgados de Familia</w:t>
            </w:r>
          </w:p>
        </w:tc>
        <w:tc>
          <w:tcPr>
            <w:tcW w:w="180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48ED1678" w14:textId="550C39D9"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Nacional / Local</w:t>
            </w:r>
          </w:p>
        </w:tc>
        <w:tc>
          <w:tcPr>
            <w:tcW w:w="159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1FD93ADB" w14:textId="42CE3A05"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Judicial</w:t>
            </w:r>
          </w:p>
        </w:tc>
        <w:tc>
          <w:tcPr>
            <w:tcW w:w="2115"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457D2619" w14:textId="2CAD33E0"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Resolver controversias en derecho de familia.</w:t>
            </w:r>
          </w:p>
        </w:tc>
        <w:tc>
          <w:tcPr>
            <w:tcW w:w="183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1A682D7A" w14:textId="1527B582"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 xml:space="preserve">Conocen apelaciones, revisan conflictos de competencias </w:t>
            </w:r>
            <w:r w:rsidRPr="00EF4D4C">
              <w:rPr>
                <w:rFonts w:ascii="Arial" w:eastAsia="Century Gothic" w:hAnsi="Arial" w:cs="Arial"/>
                <w:color w:val="000000" w:themeColor="text1"/>
                <w:lang w:val="es-CO"/>
              </w:rPr>
              <w:lastRenderedPageBreak/>
              <w:t>y decisiones de comisarías.</w:t>
            </w:r>
          </w:p>
        </w:tc>
      </w:tr>
      <w:tr w:rsidR="5368BBF5" w:rsidRPr="00EF4D4C" w14:paraId="236D97A4" w14:textId="77777777" w:rsidTr="00F64A22">
        <w:trPr>
          <w:trHeight w:val="300"/>
        </w:trPr>
        <w:tc>
          <w:tcPr>
            <w:tcW w:w="198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480B07CB" w14:textId="0D4E5C58"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b/>
                <w:bCs/>
                <w:color w:val="000000" w:themeColor="text1"/>
                <w:lang w:val="es-CO"/>
              </w:rPr>
              <w:lastRenderedPageBreak/>
              <w:t>Ministerio de Justicia y del Derecho</w:t>
            </w:r>
          </w:p>
        </w:tc>
        <w:tc>
          <w:tcPr>
            <w:tcW w:w="180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25132E14" w14:textId="36750805"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Nacional</w:t>
            </w:r>
          </w:p>
        </w:tc>
        <w:tc>
          <w:tcPr>
            <w:tcW w:w="159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1375973C" w14:textId="29A48176"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Administrativa central</w:t>
            </w:r>
          </w:p>
        </w:tc>
        <w:tc>
          <w:tcPr>
            <w:tcW w:w="2115"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46FA1177" w14:textId="09C8B1E4"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Rector del SNJF. Formula políticas, lineamientos y estándares técnicos.</w:t>
            </w:r>
          </w:p>
        </w:tc>
        <w:tc>
          <w:tcPr>
            <w:tcW w:w="183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2643198E" w14:textId="5D9EF774"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Define normativa para el funcionamiento de comisarías.</w:t>
            </w:r>
          </w:p>
        </w:tc>
      </w:tr>
      <w:tr w:rsidR="5368BBF5" w:rsidRPr="00EF4D4C" w14:paraId="6F0C6A8E" w14:textId="77777777" w:rsidTr="00F64A22">
        <w:trPr>
          <w:trHeight w:val="300"/>
        </w:trPr>
        <w:tc>
          <w:tcPr>
            <w:tcW w:w="198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6FF90EE3" w14:textId="6D53CABA"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b/>
                <w:bCs/>
                <w:color w:val="000000" w:themeColor="text1"/>
                <w:lang w:val="es-CO"/>
              </w:rPr>
              <w:t>Comisarías de Familia</w:t>
            </w:r>
          </w:p>
        </w:tc>
        <w:tc>
          <w:tcPr>
            <w:tcW w:w="180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2FD278CD" w14:textId="779FB928"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Local – Municipal</w:t>
            </w:r>
          </w:p>
        </w:tc>
        <w:tc>
          <w:tcPr>
            <w:tcW w:w="159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6EB7EED8" w14:textId="08E249C4"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Administrativa con funciones jurisdiccional</w:t>
            </w:r>
          </w:p>
        </w:tc>
        <w:tc>
          <w:tcPr>
            <w:tcW w:w="2115"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463CF4D4" w14:textId="53EB63C4"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Atención inmediata en casos de violencia intrafamiliar y conflictos familiares.</w:t>
            </w:r>
          </w:p>
        </w:tc>
        <w:tc>
          <w:tcPr>
            <w:tcW w:w="183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67D5C189" w14:textId="023DCBE2"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Actúan como puerta de entrada al SNJF. Asumen funciones subsidiarias del SNBF.</w:t>
            </w:r>
          </w:p>
        </w:tc>
      </w:tr>
      <w:tr w:rsidR="5368BBF5" w:rsidRPr="00EF4D4C" w14:paraId="5EE64525" w14:textId="77777777" w:rsidTr="00F64A22">
        <w:trPr>
          <w:trHeight w:val="300"/>
        </w:trPr>
        <w:tc>
          <w:tcPr>
            <w:tcW w:w="198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608CF66F" w14:textId="7B0C35FB"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b/>
                <w:bCs/>
                <w:color w:val="000000" w:themeColor="text1"/>
                <w:lang w:val="es-CO"/>
              </w:rPr>
              <w:t>Defensorías de Familia (ICBF)</w:t>
            </w:r>
          </w:p>
        </w:tc>
        <w:tc>
          <w:tcPr>
            <w:tcW w:w="180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5F699557" w14:textId="04A0A7B7"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Departamental / Municipal</w:t>
            </w:r>
          </w:p>
        </w:tc>
        <w:tc>
          <w:tcPr>
            <w:tcW w:w="159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350DD626" w14:textId="21A4F18E"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Administrativa especial</w:t>
            </w:r>
          </w:p>
        </w:tc>
        <w:tc>
          <w:tcPr>
            <w:tcW w:w="2115"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1547762F" w14:textId="00173BB7"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Restablecimiento de derechos de NNA y medidas de protección integral.</w:t>
            </w:r>
          </w:p>
        </w:tc>
        <w:tc>
          <w:tcPr>
            <w:tcW w:w="183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3E23474B" w14:textId="5F1100A4"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Las comisarías intervienen subsidiariamente en su ausencia.</w:t>
            </w:r>
          </w:p>
        </w:tc>
      </w:tr>
      <w:tr w:rsidR="5368BBF5" w:rsidRPr="00EF4D4C" w14:paraId="50A3C0C2" w14:textId="77777777" w:rsidTr="00F64A22">
        <w:trPr>
          <w:trHeight w:val="300"/>
        </w:trPr>
        <w:tc>
          <w:tcPr>
            <w:tcW w:w="198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5DBA9143" w14:textId="43340582"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b/>
                <w:bCs/>
                <w:color w:val="000000" w:themeColor="text1"/>
                <w:lang w:val="es-CO"/>
              </w:rPr>
              <w:t>Instituto Colombiano de Bienestar Familiar (ICBF)</w:t>
            </w:r>
          </w:p>
        </w:tc>
        <w:tc>
          <w:tcPr>
            <w:tcW w:w="180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23940283" w14:textId="6A3DAFDC"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Nacional</w:t>
            </w:r>
          </w:p>
        </w:tc>
        <w:tc>
          <w:tcPr>
            <w:tcW w:w="159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4A9183C3" w14:textId="6CA459C8"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Administrativa especial</w:t>
            </w:r>
          </w:p>
        </w:tc>
        <w:tc>
          <w:tcPr>
            <w:tcW w:w="2115"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7D03FF09" w14:textId="2BB5D90B"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Rector del SNBF. Coordina políticas públicas en infancia y familia.</w:t>
            </w:r>
          </w:p>
        </w:tc>
        <w:tc>
          <w:tcPr>
            <w:tcW w:w="183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2EB27FB2" w14:textId="7334EAFC"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Articulación permanente con comisarías en procesos de protección.</w:t>
            </w:r>
          </w:p>
        </w:tc>
      </w:tr>
      <w:tr w:rsidR="5368BBF5" w:rsidRPr="00EF4D4C" w14:paraId="1005C73D" w14:textId="77777777" w:rsidTr="00F64A22">
        <w:trPr>
          <w:trHeight w:val="300"/>
        </w:trPr>
        <w:tc>
          <w:tcPr>
            <w:tcW w:w="198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017BC5B4" w14:textId="272B2680"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b/>
                <w:bCs/>
                <w:color w:val="000000" w:themeColor="text1"/>
                <w:lang w:val="es-CO"/>
              </w:rPr>
              <w:t>Subdirección del SNBF (ICBF)</w:t>
            </w:r>
          </w:p>
        </w:tc>
        <w:tc>
          <w:tcPr>
            <w:tcW w:w="180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2A97C2A0" w14:textId="08288C24"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Nacional</w:t>
            </w:r>
          </w:p>
        </w:tc>
        <w:tc>
          <w:tcPr>
            <w:tcW w:w="159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51CC97C4" w14:textId="49F2B921"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Administrativa técnica</w:t>
            </w:r>
          </w:p>
        </w:tc>
        <w:tc>
          <w:tcPr>
            <w:tcW w:w="2115"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3366F475" w14:textId="35BFC6CF"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Coordina el sistema intersectorial para garantía de derechos de NNA.</w:t>
            </w:r>
          </w:p>
        </w:tc>
        <w:tc>
          <w:tcPr>
            <w:tcW w:w="183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0B5A3DB7" w14:textId="0BF68E78"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Emite lineamientos técnicos que orientan a las comisarías.</w:t>
            </w:r>
          </w:p>
        </w:tc>
      </w:tr>
      <w:tr w:rsidR="5368BBF5" w:rsidRPr="00EF4D4C" w14:paraId="74A3E768" w14:textId="77777777" w:rsidTr="00F64A22">
        <w:trPr>
          <w:trHeight w:val="300"/>
        </w:trPr>
        <w:tc>
          <w:tcPr>
            <w:tcW w:w="198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2DE7E0A3" w14:textId="429DBD8B"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b/>
                <w:bCs/>
                <w:color w:val="000000" w:themeColor="text1"/>
                <w:lang w:val="es-CO"/>
              </w:rPr>
              <w:t>Consejos Departamentales y Municipales de Política Social</w:t>
            </w:r>
          </w:p>
        </w:tc>
        <w:tc>
          <w:tcPr>
            <w:tcW w:w="180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06E7A647" w14:textId="7F984C45"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Territorial</w:t>
            </w:r>
          </w:p>
        </w:tc>
        <w:tc>
          <w:tcPr>
            <w:tcW w:w="159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21398368" w14:textId="05C3B6EE"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Coordinación interinstitucional</w:t>
            </w:r>
          </w:p>
        </w:tc>
        <w:tc>
          <w:tcPr>
            <w:tcW w:w="2115"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4A9960DA" w14:textId="5C7EA34A"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Armonizan planes y acciones del SNBF en el territorio.</w:t>
            </w:r>
          </w:p>
        </w:tc>
        <w:tc>
          <w:tcPr>
            <w:tcW w:w="183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578E290C" w14:textId="4D75307E"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Espacios de articulación local con las comisarías.</w:t>
            </w:r>
          </w:p>
        </w:tc>
      </w:tr>
      <w:tr w:rsidR="5368BBF5" w:rsidRPr="00EF4D4C" w14:paraId="5C53CD72" w14:textId="77777777" w:rsidTr="00F64A22">
        <w:trPr>
          <w:trHeight w:val="300"/>
        </w:trPr>
        <w:tc>
          <w:tcPr>
            <w:tcW w:w="198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1DDAD72A" w14:textId="7D44929C"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b/>
                <w:bCs/>
                <w:color w:val="000000" w:themeColor="text1"/>
                <w:lang w:val="es-CO"/>
              </w:rPr>
              <w:lastRenderedPageBreak/>
              <w:t>Centros Zonales del ICBF</w:t>
            </w:r>
          </w:p>
        </w:tc>
        <w:tc>
          <w:tcPr>
            <w:tcW w:w="180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479D39FA" w14:textId="31A0EEC3"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Zona / Local</w:t>
            </w:r>
          </w:p>
        </w:tc>
        <w:tc>
          <w:tcPr>
            <w:tcW w:w="159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03FC00D1" w14:textId="137FB80C"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Administrativa operativa</w:t>
            </w:r>
          </w:p>
        </w:tc>
        <w:tc>
          <w:tcPr>
            <w:tcW w:w="2115"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3B6BBCD6" w14:textId="7FCAE21F"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Ejecutan programas de protección y restablecimiento de derechos.</w:t>
            </w:r>
          </w:p>
        </w:tc>
        <w:tc>
          <w:tcPr>
            <w:tcW w:w="183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1257F883" w14:textId="741CFBBD"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Coordinan directamente con comisarías.</w:t>
            </w:r>
          </w:p>
        </w:tc>
      </w:tr>
      <w:tr w:rsidR="5368BBF5" w:rsidRPr="00EF4D4C" w14:paraId="4CC005C8" w14:textId="77777777" w:rsidTr="00F64A22">
        <w:trPr>
          <w:trHeight w:val="300"/>
        </w:trPr>
        <w:tc>
          <w:tcPr>
            <w:tcW w:w="198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18303D3C" w14:textId="004BDDDB"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b/>
                <w:bCs/>
                <w:color w:val="000000" w:themeColor="text1"/>
                <w:lang w:val="es-CO"/>
              </w:rPr>
              <w:t>Alcaldías / Secretarías de Gobierno</w:t>
            </w:r>
          </w:p>
        </w:tc>
        <w:tc>
          <w:tcPr>
            <w:tcW w:w="180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6AE401B2" w14:textId="55089C7B"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Municipal</w:t>
            </w:r>
          </w:p>
        </w:tc>
        <w:tc>
          <w:tcPr>
            <w:tcW w:w="159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1B87E898" w14:textId="046D08C1"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Administrativa territorial</w:t>
            </w:r>
          </w:p>
        </w:tc>
        <w:tc>
          <w:tcPr>
            <w:tcW w:w="2115"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0075A21E" w14:textId="14E3F64A"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Financian, dotan y supervisan el funcionamiento de las comisarías.</w:t>
            </w:r>
          </w:p>
        </w:tc>
        <w:tc>
          <w:tcPr>
            <w:tcW w:w="183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2297D363" w14:textId="2755F792"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Responsables legales del funcionamiento de las comisarías.</w:t>
            </w:r>
          </w:p>
        </w:tc>
      </w:tr>
      <w:tr w:rsidR="5368BBF5" w:rsidRPr="00EF4D4C" w14:paraId="3C2A5C59" w14:textId="77777777" w:rsidTr="00F64A22">
        <w:trPr>
          <w:trHeight w:val="300"/>
        </w:trPr>
        <w:tc>
          <w:tcPr>
            <w:tcW w:w="198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533E12D4" w14:textId="38EF18B2"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b/>
                <w:bCs/>
                <w:color w:val="000000" w:themeColor="text1"/>
                <w:lang w:val="es-CO"/>
              </w:rPr>
              <w:t>Policía Nacional</w:t>
            </w:r>
          </w:p>
        </w:tc>
        <w:tc>
          <w:tcPr>
            <w:tcW w:w="180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7ED4BD5D" w14:textId="7F9F62BB"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Nacional / Local</w:t>
            </w:r>
          </w:p>
        </w:tc>
        <w:tc>
          <w:tcPr>
            <w:tcW w:w="159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51867EC1" w14:textId="31CCF771"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Operativa</w:t>
            </w:r>
          </w:p>
        </w:tc>
        <w:tc>
          <w:tcPr>
            <w:tcW w:w="2115"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5ED47F0D" w14:textId="4CC74A40"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Ejecuta medidas de protección, traslados y apoyos urgentes.</w:t>
            </w:r>
          </w:p>
        </w:tc>
        <w:tc>
          <w:tcPr>
            <w:tcW w:w="183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3815A159" w14:textId="095F3C7F"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Da cumplimiento inmediato a las decisiones de las comisarías.</w:t>
            </w:r>
          </w:p>
        </w:tc>
      </w:tr>
      <w:tr w:rsidR="5368BBF5" w:rsidRPr="00EF4D4C" w14:paraId="279DD7AF" w14:textId="77777777" w:rsidTr="00F64A22">
        <w:trPr>
          <w:trHeight w:val="300"/>
        </w:trPr>
        <w:tc>
          <w:tcPr>
            <w:tcW w:w="198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6504287F" w14:textId="7743228B"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b/>
                <w:bCs/>
                <w:color w:val="000000" w:themeColor="text1"/>
                <w:lang w:val="es-CO"/>
              </w:rPr>
              <w:t>Ministerio de Salud y Protección Social</w:t>
            </w:r>
          </w:p>
        </w:tc>
        <w:tc>
          <w:tcPr>
            <w:tcW w:w="180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5A3E4732" w14:textId="65FCC09B"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Nacional – Territorial</w:t>
            </w:r>
          </w:p>
        </w:tc>
        <w:tc>
          <w:tcPr>
            <w:tcW w:w="159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62882DC8" w14:textId="34E3982D"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Administrativa sectorial</w:t>
            </w:r>
          </w:p>
        </w:tc>
        <w:tc>
          <w:tcPr>
            <w:tcW w:w="2115"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1EFA161A" w14:textId="126E4516"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Prevención y atención en salud física y mental.</w:t>
            </w:r>
          </w:p>
        </w:tc>
        <w:tc>
          <w:tcPr>
            <w:tcW w:w="183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2EFC2D1F" w14:textId="4EF3F04A"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Comisarías remiten casos que requieren atención médica o psicosocial.</w:t>
            </w:r>
          </w:p>
        </w:tc>
      </w:tr>
      <w:tr w:rsidR="5368BBF5" w:rsidRPr="00EF4D4C" w14:paraId="3B745F42" w14:textId="77777777" w:rsidTr="00F64A22">
        <w:trPr>
          <w:trHeight w:val="300"/>
        </w:trPr>
        <w:tc>
          <w:tcPr>
            <w:tcW w:w="198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454507A5" w14:textId="62D10526"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b/>
                <w:bCs/>
                <w:color w:val="000000" w:themeColor="text1"/>
                <w:lang w:val="es-CO"/>
              </w:rPr>
              <w:t>Instituciones Educativas (MEN / colegios)</w:t>
            </w:r>
          </w:p>
        </w:tc>
        <w:tc>
          <w:tcPr>
            <w:tcW w:w="180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012ADE2C" w14:textId="25554AF9"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Local- Departamental</w:t>
            </w:r>
          </w:p>
        </w:tc>
        <w:tc>
          <w:tcPr>
            <w:tcW w:w="159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2C8915C9" w14:textId="4E7F9BDC"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Pública / Privada</w:t>
            </w:r>
          </w:p>
        </w:tc>
        <w:tc>
          <w:tcPr>
            <w:tcW w:w="2115"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1B156B58" w14:textId="17A4152C"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Detección de riesgos de vulneración, violencia o abandono escolar.</w:t>
            </w:r>
          </w:p>
        </w:tc>
        <w:tc>
          <w:tcPr>
            <w:tcW w:w="183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20157B37" w14:textId="51F9DC5A"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Alertan y remiten a comisarías o defensorías.</w:t>
            </w:r>
          </w:p>
        </w:tc>
      </w:tr>
      <w:tr w:rsidR="5368BBF5" w:rsidRPr="00EF4D4C" w14:paraId="1C662701" w14:textId="77777777" w:rsidTr="00F64A22">
        <w:trPr>
          <w:trHeight w:val="300"/>
        </w:trPr>
        <w:tc>
          <w:tcPr>
            <w:tcW w:w="198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370F82B8" w14:textId="1842D6B5"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b/>
                <w:bCs/>
                <w:color w:val="000000" w:themeColor="text1"/>
                <w:lang w:val="es-CO"/>
              </w:rPr>
              <w:t>Organizaciones de la Sociedad Civil (OSC)</w:t>
            </w:r>
          </w:p>
        </w:tc>
        <w:tc>
          <w:tcPr>
            <w:tcW w:w="180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3F3DF24B" w14:textId="1719D84C"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Local / Nacional</w:t>
            </w:r>
          </w:p>
        </w:tc>
        <w:tc>
          <w:tcPr>
            <w:tcW w:w="159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7AC5B741" w14:textId="373D79AB"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Privada sin ánimo de lucro</w:t>
            </w:r>
          </w:p>
        </w:tc>
        <w:tc>
          <w:tcPr>
            <w:tcW w:w="2115"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28F78392" w14:textId="412A3DE1"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Acompañamiento jurídico, psicosocial o comunitario.</w:t>
            </w:r>
          </w:p>
        </w:tc>
        <w:tc>
          <w:tcPr>
            <w:tcW w:w="183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01FF206B" w14:textId="54AFAF91"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Aliadas en la atención o canalización de casos a comisarías.</w:t>
            </w:r>
          </w:p>
        </w:tc>
      </w:tr>
      <w:tr w:rsidR="5368BBF5" w:rsidRPr="00EF4D4C" w14:paraId="1EE10474" w14:textId="77777777" w:rsidTr="00F64A22">
        <w:trPr>
          <w:trHeight w:val="300"/>
        </w:trPr>
        <w:tc>
          <w:tcPr>
            <w:tcW w:w="198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334D8706" w14:textId="0BD45FB7"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b/>
                <w:bCs/>
                <w:color w:val="000000" w:themeColor="text1"/>
                <w:lang w:val="es-CO"/>
              </w:rPr>
              <w:t>Ministerio Público (Personerías / Procuraduría)</w:t>
            </w:r>
          </w:p>
        </w:tc>
        <w:tc>
          <w:tcPr>
            <w:tcW w:w="180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72EF28F7" w14:textId="5A75D077"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Nacional / Territorial</w:t>
            </w:r>
          </w:p>
        </w:tc>
        <w:tc>
          <w:tcPr>
            <w:tcW w:w="159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17D80D94" w14:textId="1D36E148"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Control disciplinario y vigilancia</w:t>
            </w:r>
          </w:p>
        </w:tc>
        <w:tc>
          <w:tcPr>
            <w:tcW w:w="2115"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1875BB55" w14:textId="48F86871"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Vigilan la legalidad y garantías procesales en actuaciones.</w:t>
            </w:r>
          </w:p>
        </w:tc>
        <w:tc>
          <w:tcPr>
            <w:tcW w:w="1830" w:type="dxa"/>
            <w:tcBorders>
              <w:top w:val="single" w:sz="6" w:space="0" w:color="auto"/>
              <w:left w:val="single" w:sz="6" w:space="0" w:color="auto"/>
              <w:bottom w:val="single" w:sz="6" w:space="0" w:color="auto"/>
              <w:right w:val="single" w:sz="6" w:space="0" w:color="auto"/>
            </w:tcBorders>
            <w:shd w:val="clear" w:color="auto" w:fill="AEBFD6"/>
            <w:tcMar>
              <w:left w:w="105" w:type="dxa"/>
              <w:right w:w="105" w:type="dxa"/>
            </w:tcMar>
          </w:tcPr>
          <w:p w14:paraId="6A011ADC" w14:textId="2517DEA9" w:rsidR="5368BBF5" w:rsidRPr="00EF4D4C" w:rsidRDefault="5368BBF5" w:rsidP="00486CEF">
            <w:pPr>
              <w:spacing w:line="276" w:lineRule="auto"/>
              <w:rPr>
                <w:rFonts w:ascii="Arial" w:eastAsia="Century Gothic" w:hAnsi="Arial" w:cs="Arial"/>
                <w:color w:val="000000" w:themeColor="text1"/>
              </w:rPr>
            </w:pPr>
            <w:r w:rsidRPr="00EF4D4C">
              <w:rPr>
                <w:rFonts w:ascii="Arial" w:eastAsia="Century Gothic" w:hAnsi="Arial" w:cs="Arial"/>
                <w:color w:val="000000" w:themeColor="text1"/>
                <w:lang w:val="es-CO"/>
              </w:rPr>
              <w:t>Supervisan la actuación diligente de las comisarías.</w:t>
            </w:r>
          </w:p>
        </w:tc>
      </w:tr>
    </w:tbl>
    <w:p w14:paraId="0C0BDC93" w14:textId="77777777" w:rsidR="00405CDD" w:rsidRPr="00EF4D4C" w:rsidRDefault="00405CDD" w:rsidP="00486CEF">
      <w:pPr>
        <w:spacing w:beforeAutospacing="1" w:afterAutospacing="1" w:line="276" w:lineRule="auto"/>
        <w:jc w:val="both"/>
        <w:rPr>
          <w:rFonts w:ascii="Arial" w:eastAsia="Century Gothic" w:hAnsi="Arial" w:cs="Arial"/>
          <w:b/>
          <w:bCs/>
          <w:color w:val="000000" w:themeColor="text1"/>
          <w:lang w:val="es-CO"/>
        </w:rPr>
      </w:pPr>
    </w:p>
    <w:p w14:paraId="1629A4C3" w14:textId="05B7EAED" w:rsidR="00405CDD" w:rsidRPr="00EF4D4C" w:rsidRDefault="00DB0114" w:rsidP="00486CEF">
      <w:pPr>
        <w:spacing w:beforeAutospacing="1" w:afterAutospacing="1" w:line="276" w:lineRule="auto"/>
        <w:jc w:val="both"/>
        <w:rPr>
          <w:rFonts w:ascii="Arial" w:eastAsia="Century Gothic" w:hAnsi="Arial" w:cs="Arial"/>
          <w:b/>
          <w:bCs/>
          <w:color w:val="000000" w:themeColor="text1"/>
          <w:lang w:val="es-CO"/>
        </w:rPr>
      </w:pPr>
      <w:r w:rsidRPr="00EF4D4C">
        <w:rPr>
          <w:rFonts w:ascii="Arial" w:eastAsia="Century Gothic" w:hAnsi="Arial" w:cs="Arial"/>
          <w:b/>
          <w:bCs/>
          <w:noProof/>
          <w:color w:val="000000" w:themeColor="text1"/>
          <w:lang w:val="es-CO"/>
        </w:rPr>
        <w:drawing>
          <wp:inline distT="0" distB="0" distL="0" distR="0" wp14:anchorId="631538DE" wp14:editId="149A683C">
            <wp:extent cx="5385874" cy="4074695"/>
            <wp:effectExtent l="0" t="0" r="5715" b="2540"/>
            <wp:docPr id="2030139453"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4">
                      <a:extLst>
                        <a:ext uri="{28A0092B-C50C-407E-A947-70E740481C1C}">
                          <a14:useLocalDpi xmlns:a14="http://schemas.microsoft.com/office/drawing/2010/main" val="0"/>
                        </a:ext>
                      </a:extLst>
                    </a:blip>
                    <a:srcRect l="309" t="7204" r="-309" b="3345"/>
                    <a:stretch>
                      <a:fillRect/>
                    </a:stretch>
                  </pic:blipFill>
                  <pic:spPr bwMode="auto">
                    <a:xfrm>
                      <a:off x="0" y="0"/>
                      <a:ext cx="5385874" cy="4074695"/>
                    </a:xfrm>
                    <a:prstGeom prst="rect">
                      <a:avLst/>
                    </a:prstGeom>
                    <a:noFill/>
                    <a:ln>
                      <a:noFill/>
                    </a:ln>
                    <a:extLst>
                      <a:ext uri="{53640926-AAD7-44D8-BBD7-CCE9431645EC}">
                        <a14:shadowObscured xmlns:a14="http://schemas.microsoft.com/office/drawing/2010/main"/>
                      </a:ext>
                    </a:extLst>
                  </pic:spPr>
                </pic:pic>
              </a:graphicData>
            </a:graphic>
          </wp:inline>
        </w:drawing>
      </w:r>
    </w:p>
    <w:p w14:paraId="35A27842" w14:textId="3878376D" w:rsidR="00405CDD" w:rsidRPr="00EF4D4C" w:rsidRDefault="009D2D5D" w:rsidP="00486CEF">
      <w:pPr>
        <w:spacing w:beforeAutospacing="1" w:afterAutospacing="1" w:line="276" w:lineRule="auto"/>
        <w:jc w:val="both"/>
        <w:rPr>
          <w:rFonts w:ascii="Arial" w:eastAsia="Century Gothic" w:hAnsi="Arial" w:cs="Arial"/>
          <w:b/>
          <w:bCs/>
          <w:color w:val="000000" w:themeColor="text1"/>
          <w:lang w:val="es-CO"/>
        </w:rPr>
      </w:pPr>
      <w:r w:rsidRPr="00EF4D4C">
        <w:rPr>
          <w:rFonts w:ascii="Arial" w:eastAsia="Century Gothic" w:hAnsi="Arial" w:cs="Arial"/>
          <w:b/>
          <w:bCs/>
          <w:noProof/>
          <w:color w:val="000000" w:themeColor="text1"/>
          <w:lang w:val="es-CO"/>
        </w:rPr>
        <w:drawing>
          <wp:inline distT="0" distB="0" distL="0" distR="0" wp14:anchorId="35A4AD21" wp14:editId="646251DE">
            <wp:extent cx="5405232" cy="2574758"/>
            <wp:effectExtent l="0" t="0" r="5080" b="0"/>
            <wp:docPr id="614063300"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25">
                      <a:extLst>
                        <a:ext uri="{28A0092B-C50C-407E-A947-70E740481C1C}">
                          <a14:useLocalDpi xmlns:a14="http://schemas.microsoft.com/office/drawing/2010/main" val="0"/>
                        </a:ext>
                      </a:extLst>
                    </a:blip>
                    <a:srcRect l="682" t="7844" r="-682" b="20739"/>
                    <a:stretch>
                      <a:fillRect/>
                    </a:stretch>
                  </pic:blipFill>
                  <pic:spPr bwMode="auto">
                    <a:xfrm>
                      <a:off x="0" y="0"/>
                      <a:ext cx="5438270" cy="2590496"/>
                    </a:xfrm>
                    <a:prstGeom prst="rect">
                      <a:avLst/>
                    </a:prstGeom>
                    <a:noFill/>
                    <a:ln>
                      <a:noFill/>
                    </a:ln>
                    <a:extLst>
                      <a:ext uri="{53640926-AAD7-44D8-BBD7-CCE9431645EC}">
                        <a14:shadowObscured xmlns:a14="http://schemas.microsoft.com/office/drawing/2010/main"/>
                      </a:ext>
                    </a:extLst>
                  </pic:spPr>
                </pic:pic>
              </a:graphicData>
            </a:graphic>
          </wp:inline>
        </w:drawing>
      </w:r>
    </w:p>
    <w:p w14:paraId="264D0E36" w14:textId="294FA774" w:rsidR="00F03597" w:rsidRPr="00EF4D4C" w:rsidRDefault="00577A58" w:rsidP="00505A70">
      <w:pPr>
        <w:spacing w:beforeAutospacing="1" w:afterAutospacing="1" w:line="276" w:lineRule="auto"/>
        <w:jc w:val="center"/>
        <w:rPr>
          <w:rFonts w:ascii="Arial" w:eastAsia="Century Gothic" w:hAnsi="Arial" w:cs="Arial"/>
          <w:b/>
          <w:bCs/>
          <w:color w:val="000000" w:themeColor="text1"/>
          <w:lang w:val="es-CO"/>
        </w:rPr>
      </w:pPr>
      <w:r w:rsidRPr="00EF4D4C">
        <w:rPr>
          <w:rFonts w:ascii="Arial" w:eastAsia="Century Gothic" w:hAnsi="Arial" w:cs="Arial"/>
          <w:b/>
          <w:bCs/>
          <w:noProof/>
          <w:color w:val="000000" w:themeColor="text1"/>
          <w:lang w:val="es-CO"/>
        </w:rPr>
        <w:lastRenderedPageBreak/>
        <w:drawing>
          <wp:inline distT="0" distB="0" distL="0" distR="0" wp14:anchorId="1D833368" wp14:editId="7D4D12A4">
            <wp:extent cx="5151311" cy="1120179"/>
            <wp:effectExtent l="0" t="0" r="0" b="3810"/>
            <wp:docPr id="61256422"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26">
                      <a:extLst>
                        <a:ext uri="{28A0092B-C50C-407E-A947-70E740481C1C}">
                          <a14:useLocalDpi xmlns:a14="http://schemas.microsoft.com/office/drawing/2010/main" val="0"/>
                        </a:ext>
                      </a:extLst>
                    </a:blip>
                    <a:srcRect l="1650" t="50948" r="1547" b="17491"/>
                    <a:stretch>
                      <a:fillRect/>
                    </a:stretch>
                  </pic:blipFill>
                  <pic:spPr bwMode="auto">
                    <a:xfrm>
                      <a:off x="0" y="0"/>
                      <a:ext cx="5301507" cy="1152840"/>
                    </a:xfrm>
                    <a:prstGeom prst="rect">
                      <a:avLst/>
                    </a:prstGeom>
                    <a:noFill/>
                    <a:ln>
                      <a:noFill/>
                    </a:ln>
                    <a:extLst>
                      <a:ext uri="{53640926-AAD7-44D8-BBD7-CCE9431645EC}">
                        <a14:shadowObscured xmlns:a14="http://schemas.microsoft.com/office/drawing/2010/main"/>
                      </a:ext>
                    </a:extLst>
                  </pic:spPr>
                </pic:pic>
              </a:graphicData>
            </a:graphic>
          </wp:inline>
        </w:drawing>
      </w:r>
    </w:p>
    <w:p w14:paraId="7B8727BE" w14:textId="31D53668" w:rsidR="00825005" w:rsidRPr="00EF4D4C" w:rsidRDefault="547963E6" w:rsidP="004773A8">
      <w:pPr>
        <w:spacing w:before="100" w:beforeAutospacing="1" w:after="100" w:afterAutospacing="1" w:line="276" w:lineRule="auto"/>
        <w:ind w:firstLine="720"/>
        <w:jc w:val="both"/>
        <w:rPr>
          <w:rFonts w:ascii="Arial" w:eastAsia="Century Gothic" w:hAnsi="Arial" w:cs="Arial"/>
          <w:color w:val="000000" w:themeColor="text1"/>
          <w:lang w:val="es-CO"/>
        </w:rPr>
      </w:pPr>
      <w:r w:rsidRPr="00EF4D4C">
        <w:rPr>
          <w:rFonts w:ascii="Arial" w:eastAsia="Century Gothic" w:hAnsi="Arial" w:cs="Arial"/>
          <w:color w:val="000000" w:themeColor="text1"/>
          <w:lang w:val="es-CO"/>
        </w:rPr>
        <w:t>El SNJF busca superar la actuación fragmentada y promover la interoperabilidad institucional para una atención integral y oportuna.</w:t>
      </w:r>
    </w:p>
    <w:p w14:paraId="5ED014F2" w14:textId="3051CCF1" w:rsidR="00825005" w:rsidRPr="00EF4D4C" w:rsidRDefault="00A11870" w:rsidP="00486CEF">
      <w:pPr>
        <w:spacing w:beforeAutospacing="1" w:afterAutospacing="1" w:line="276" w:lineRule="auto"/>
        <w:jc w:val="both"/>
        <w:rPr>
          <w:rFonts w:ascii="Arial" w:eastAsia="Century Gothic" w:hAnsi="Arial" w:cs="Arial"/>
          <w:color w:val="000000" w:themeColor="text1"/>
          <w:lang w:val="es-CO"/>
        </w:rPr>
      </w:pPr>
      <w:r w:rsidRPr="00EF4D4C">
        <w:rPr>
          <w:rFonts w:ascii="Arial" w:eastAsia="Century Gothic" w:hAnsi="Arial" w:cs="Arial"/>
          <w:noProof/>
          <w:color w:val="000000" w:themeColor="text1"/>
          <w:lang w:val="es-CO"/>
        </w:rPr>
        <w:drawing>
          <wp:inline distT="0" distB="0" distL="0" distR="0" wp14:anchorId="314E65C0" wp14:editId="6D2BD9F2">
            <wp:extent cx="5301916" cy="5430938"/>
            <wp:effectExtent l="0" t="0" r="0" b="0"/>
            <wp:docPr id="796125520"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27">
                      <a:extLst>
                        <a:ext uri="{28A0092B-C50C-407E-A947-70E740481C1C}">
                          <a14:useLocalDpi xmlns:a14="http://schemas.microsoft.com/office/drawing/2010/main" val="0"/>
                        </a:ext>
                      </a:extLst>
                    </a:blip>
                    <a:srcRect t="22676" b="9002"/>
                    <a:stretch>
                      <a:fillRect/>
                    </a:stretch>
                  </pic:blipFill>
                  <pic:spPr bwMode="auto">
                    <a:xfrm>
                      <a:off x="0" y="0"/>
                      <a:ext cx="5323037" cy="5452573"/>
                    </a:xfrm>
                    <a:prstGeom prst="rect">
                      <a:avLst/>
                    </a:prstGeom>
                    <a:noFill/>
                    <a:ln>
                      <a:noFill/>
                    </a:ln>
                    <a:extLst>
                      <a:ext uri="{53640926-AAD7-44D8-BBD7-CCE9431645EC}">
                        <a14:shadowObscured xmlns:a14="http://schemas.microsoft.com/office/drawing/2010/main"/>
                      </a:ext>
                    </a:extLst>
                  </pic:spPr>
                </pic:pic>
              </a:graphicData>
            </a:graphic>
          </wp:inline>
        </w:drawing>
      </w:r>
    </w:p>
    <w:p w14:paraId="3CB1C374" w14:textId="2A90FBB9" w:rsidR="3CD4A1FE" w:rsidRPr="00EF4D4C" w:rsidRDefault="3CD4A1FE" w:rsidP="00486CEF">
      <w:pPr>
        <w:spacing w:beforeAutospacing="1" w:afterAutospacing="1" w:line="276" w:lineRule="auto"/>
        <w:jc w:val="both"/>
        <w:rPr>
          <w:rFonts w:ascii="Arial" w:eastAsia="Century Gothic" w:hAnsi="Arial" w:cs="Arial"/>
          <w:color w:val="000000" w:themeColor="text1"/>
        </w:rPr>
      </w:pPr>
      <w:r w:rsidRPr="00EF4D4C">
        <w:rPr>
          <w:rFonts w:ascii="Arial" w:eastAsia="Century Gothic" w:hAnsi="Arial" w:cs="Arial"/>
          <w:b/>
          <w:bCs/>
          <w:color w:val="000000" w:themeColor="text1"/>
          <w:lang w:val="es-CO"/>
        </w:rPr>
        <w:t>Competencias por tipo de entidad</w:t>
      </w:r>
    </w:p>
    <w:p w14:paraId="38446E5E" w14:textId="567C8A64" w:rsidR="3CD4A1FE" w:rsidRPr="00EF4D4C" w:rsidRDefault="3CD4A1FE" w:rsidP="00486CEF">
      <w:pPr>
        <w:spacing w:beforeAutospacing="1" w:afterAutospacing="1" w:line="276" w:lineRule="auto"/>
        <w:jc w:val="both"/>
        <w:rPr>
          <w:rFonts w:ascii="Arial" w:eastAsia="Century Gothic" w:hAnsi="Arial" w:cs="Arial"/>
          <w:color w:val="000000" w:themeColor="text1"/>
        </w:rPr>
      </w:pPr>
      <w:r w:rsidRPr="00EF4D4C">
        <w:rPr>
          <w:rFonts w:ascii="Arial" w:eastAsia="Century Gothic" w:hAnsi="Arial" w:cs="Arial"/>
          <w:b/>
          <w:bCs/>
          <w:color w:val="000000" w:themeColor="text1"/>
          <w:lang w:val="es-CO"/>
        </w:rPr>
        <w:t>Articulación con el Sistema Nacional de Bienestar Familiar (SNBF)</w:t>
      </w:r>
    </w:p>
    <w:p w14:paraId="0F349F2D" w14:textId="2AEBB85D" w:rsidR="5368BBF5" w:rsidRPr="00EF4D4C" w:rsidRDefault="3CD4A1FE" w:rsidP="004773A8">
      <w:pPr>
        <w:spacing w:before="100" w:beforeAutospacing="1" w:after="100" w:afterAutospacing="1" w:line="276" w:lineRule="auto"/>
        <w:ind w:firstLine="720"/>
        <w:jc w:val="both"/>
        <w:rPr>
          <w:rFonts w:ascii="Arial" w:eastAsia="Century Gothic" w:hAnsi="Arial" w:cs="Arial"/>
          <w:color w:val="000000" w:themeColor="text1"/>
        </w:rPr>
      </w:pPr>
      <w:r w:rsidRPr="00EF4D4C">
        <w:rPr>
          <w:rFonts w:ascii="Arial" w:eastAsia="Century Gothic" w:hAnsi="Arial" w:cs="Arial"/>
          <w:color w:val="000000" w:themeColor="text1"/>
          <w:lang w:val="es-CO"/>
        </w:rPr>
        <w:lastRenderedPageBreak/>
        <w:t>El SNJF se articula funcionalmente con el Sistema Nacional de Bienestar Familiar (SNBF), del cual forma parte como subsistema especializado en justicia familiar.</w:t>
      </w:r>
      <w:r w:rsidR="00E53583" w:rsidRPr="00EF4D4C">
        <w:rPr>
          <w:rFonts w:ascii="Arial" w:hAnsi="Arial" w:cs="Arial"/>
        </w:rPr>
        <w:t xml:space="preserve"> </w:t>
      </w:r>
      <w:r w:rsidRPr="00EF4D4C">
        <w:rPr>
          <w:rFonts w:ascii="Arial" w:eastAsia="Century Gothic" w:hAnsi="Arial" w:cs="Arial"/>
          <w:color w:val="000000" w:themeColor="text1"/>
          <w:lang w:val="es-CO"/>
        </w:rPr>
        <w:t>Mientras el SNBF orienta la política pública de protección integral, el SNJF armoniza las actuaciones administrativas y judiciales para asegurar que la protección de niñas, niños, adolescentes y familias cuente con garantías jurídicas efectivas, conforme a la Ley 1098 de 2006 y el Decreto 1084 de 2015.</w:t>
      </w:r>
    </w:p>
    <w:sectPr w:rsidR="5368BBF5" w:rsidRPr="00EF4D4C">
      <w:headerReference w:type="default" r:id="rId28"/>
      <w:footerReference w:type="default" r:id="rId29"/>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EB73FB" w14:textId="77777777" w:rsidR="00E01B59" w:rsidRDefault="00E01B59" w:rsidP="00157533">
      <w:r>
        <w:separator/>
      </w:r>
    </w:p>
  </w:endnote>
  <w:endnote w:type="continuationSeparator" w:id="0">
    <w:p w14:paraId="38CC832C" w14:textId="77777777" w:rsidR="00E01B59" w:rsidRDefault="00E01B59" w:rsidP="001575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2DE373" w14:textId="1C4D5557" w:rsidR="00DA30A8" w:rsidRDefault="00DA30A8">
    <w:pPr>
      <w:pStyle w:val="Piedepgina"/>
    </w:pPr>
    <w:r>
      <w:rPr>
        <w:noProof/>
      </w:rPr>
      <w:drawing>
        <wp:anchor distT="0" distB="0" distL="114300" distR="114300" simplePos="0" relativeHeight="251658240" behindDoc="0" locked="0" layoutInCell="1" allowOverlap="1" wp14:anchorId="5DCFAFD6" wp14:editId="78AD14DB">
          <wp:simplePos x="0" y="0"/>
          <wp:positionH relativeFrom="page">
            <wp:align>left</wp:align>
          </wp:positionH>
          <wp:positionV relativeFrom="paragraph">
            <wp:posOffset>48260</wp:posOffset>
          </wp:positionV>
          <wp:extent cx="2598821" cy="580557"/>
          <wp:effectExtent l="0" t="0" r="0" b="0"/>
          <wp:wrapNone/>
          <wp:docPr id="29811488" name="Imagen 5" descr="Imagen que contiene Flech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11488" name="Imagen 5" descr="Imagen que contiene Flecha&#10;&#10;El contenido generado por IA puede ser incorrecto."/>
                  <pic:cNvPicPr/>
                </pic:nvPicPr>
                <pic:blipFill rotWithShape="1">
                  <a:blip r:embed="rId1">
                    <a:extLst>
                      <a:ext uri="{28A0092B-C50C-407E-A947-70E740481C1C}">
                        <a14:useLocalDpi xmlns:a14="http://schemas.microsoft.com/office/drawing/2010/main" val="0"/>
                      </a:ext>
                    </a:extLst>
                  </a:blip>
                  <a:srcRect t="57986" r="53800"/>
                  <a:stretch>
                    <a:fillRect/>
                  </a:stretch>
                </pic:blipFill>
                <pic:spPr bwMode="auto">
                  <a:xfrm>
                    <a:off x="0" y="0"/>
                    <a:ext cx="2598821" cy="580557"/>
                  </a:xfrm>
                  <a:prstGeom prst="rect">
                    <a:avLst/>
                  </a:prstGeom>
                  <a:ln>
                    <a:noFill/>
                  </a:ln>
                  <a:extLst>
                    <a:ext uri="{53640926-AAD7-44D8-BBD7-CCE9431645EC}">
                      <a14:shadowObscured xmlns:a14="http://schemas.microsoft.com/office/drawing/2010/main"/>
                    </a:ext>
                  </a:extLst>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60249E" w14:textId="77777777" w:rsidR="00E01B59" w:rsidRDefault="00E01B59" w:rsidP="00157533">
      <w:r>
        <w:separator/>
      </w:r>
    </w:p>
  </w:footnote>
  <w:footnote w:type="continuationSeparator" w:id="0">
    <w:p w14:paraId="1F7496CB" w14:textId="77777777" w:rsidR="00E01B59" w:rsidRDefault="00E01B59" w:rsidP="001575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8E63BC" w14:textId="38E9AA46" w:rsidR="00DA30A8" w:rsidRDefault="00C532E8">
    <w:pPr>
      <w:pStyle w:val="Encabezado"/>
    </w:pPr>
    <w:r>
      <w:rPr>
        <w:noProof/>
      </w:rPr>
      <w:drawing>
        <wp:anchor distT="0" distB="0" distL="114300" distR="114300" simplePos="0" relativeHeight="251659264" behindDoc="0" locked="0" layoutInCell="1" allowOverlap="1" wp14:anchorId="7736178B" wp14:editId="5F96649F">
          <wp:simplePos x="0" y="0"/>
          <wp:positionH relativeFrom="page">
            <wp:align>right</wp:align>
          </wp:positionH>
          <wp:positionV relativeFrom="paragraph">
            <wp:posOffset>-448477</wp:posOffset>
          </wp:positionV>
          <wp:extent cx="7555230" cy="1388110"/>
          <wp:effectExtent l="0" t="0" r="7620" b="2540"/>
          <wp:wrapSquare wrapText="bothSides"/>
          <wp:docPr id="1428964100" name="Imagen 8" descr="For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964100" name="Imagen 8" descr="Forma&#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7555230" cy="1388110"/>
                  </a:xfrm>
                  <a:prstGeom prst="rect">
                    <a:avLst/>
                  </a:prstGeom>
                </pic:spPr>
              </pic:pic>
            </a:graphicData>
          </a:graphic>
          <wp14:sizeRelH relativeFrom="margin">
            <wp14:pctWidth>0</wp14:pctWidth>
          </wp14:sizeRelH>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21225"/>
    <w:multiLevelType w:val="multilevel"/>
    <w:tmpl w:val="B81A5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910EB7"/>
    <w:multiLevelType w:val="multilevel"/>
    <w:tmpl w:val="784444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412498B"/>
    <w:multiLevelType w:val="multilevel"/>
    <w:tmpl w:val="4BA0AE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7B58A0"/>
    <w:multiLevelType w:val="multilevel"/>
    <w:tmpl w:val="5E124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6982F31"/>
    <w:multiLevelType w:val="hybridMultilevel"/>
    <w:tmpl w:val="6442C0B8"/>
    <w:lvl w:ilvl="0" w:tplc="0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92A540C"/>
    <w:multiLevelType w:val="hybridMultilevel"/>
    <w:tmpl w:val="FCA6F0E2"/>
    <w:lvl w:ilvl="0" w:tplc="22C2BECA">
      <w:numFmt w:val="bullet"/>
      <w:lvlText w:val="-"/>
      <w:lvlJc w:val="left"/>
      <w:pPr>
        <w:ind w:left="720" w:hanging="360"/>
      </w:pPr>
      <w:rPr>
        <w:rFonts w:ascii="Tahoma" w:eastAsiaTheme="minorHAnsi" w:hAnsi="Tahoma" w:cs="Tahoma"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CC34314"/>
    <w:multiLevelType w:val="hybridMultilevel"/>
    <w:tmpl w:val="1002830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0DE3655D"/>
    <w:multiLevelType w:val="hybridMultilevel"/>
    <w:tmpl w:val="C92AC80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8" w15:restartNumberingAfterBreak="0">
    <w:nsid w:val="16AD12E9"/>
    <w:multiLevelType w:val="multilevel"/>
    <w:tmpl w:val="5AF6F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8332253"/>
    <w:multiLevelType w:val="multilevel"/>
    <w:tmpl w:val="ECBC8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8B92D6E"/>
    <w:multiLevelType w:val="hybridMultilevel"/>
    <w:tmpl w:val="0910ED5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1" w15:restartNumberingAfterBreak="0">
    <w:nsid w:val="1A850E1B"/>
    <w:multiLevelType w:val="hybridMultilevel"/>
    <w:tmpl w:val="34D06A1E"/>
    <w:lvl w:ilvl="0" w:tplc="D23E389C">
      <w:numFmt w:val="bullet"/>
      <w:lvlText w:val="-"/>
      <w:lvlJc w:val="left"/>
      <w:pPr>
        <w:ind w:left="720" w:hanging="360"/>
      </w:pPr>
      <w:rPr>
        <w:rFonts w:ascii="Tahoma" w:eastAsiaTheme="minorHAnsi" w:hAnsi="Tahoma" w:cs="Tahoma"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1CC724A6"/>
    <w:multiLevelType w:val="multilevel"/>
    <w:tmpl w:val="63ECC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FD73A8A"/>
    <w:multiLevelType w:val="hybridMultilevel"/>
    <w:tmpl w:val="141A6F92"/>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4" w15:restartNumberingAfterBreak="0">
    <w:nsid w:val="21108344"/>
    <w:multiLevelType w:val="hybridMultilevel"/>
    <w:tmpl w:val="30C8EF6C"/>
    <w:lvl w:ilvl="0" w:tplc="BD064020">
      <w:start w:val="1"/>
      <w:numFmt w:val="bullet"/>
      <w:lvlText w:val=""/>
      <w:lvlJc w:val="left"/>
      <w:pPr>
        <w:ind w:left="720" w:hanging="360"/>
      </w:pPr>
      <w:rPr>
        <w:rFonts w:ascii="Symbol" w:hAnsi="Symbol" w:hint="default"/>
      </w:rPr>
    </w:lvl>
    <w:lvl w:ilvl="1" w:tplc="6B8E8C5E">
      <w:start w:val="1"/>
      <w:numFmt w:val="bullet"/>
      <w:lvlText w:val="o"/>
      <w:lvlJc w:val="left"/>
      <w:pPr>
        <w:ind w:left="1440" w:hanging="360"/>
      </w:pPr>
      <w:rPr>
        <w:rFonts w:ascii="Courier New" w:hAnsi="Courier New" w:hint="default"/>
      </w:rPr>
    </w:lvl>
    <w:lvl w:ilvl="2" w:tplc="5CE660EE">
      <w:start w:val="1"/>
      <w:numFmt w:val="bullet"/>
      <w:lvlText w:val=""/>
      <w:lvlJc w:val="left"/>
      <w:pPr>
        <w:ind w:left="2160" w:hanging="360"/>
      </w:pPr>
      <w:rPr>
        <w:rFonts w:ascii="Wingdings" w:hAnsi="Wingdings" w:hint="default"/>
      </w:rPr>
    </w:lvl>
    <w:lvl w:ilvl="3" w:tplc="DF6601CC">
      <w:start w:val="1"/>
      <w:numFmt w:val="bullet"/>
      <w:lvlText w:val=""/>
      <w:lvlJc w:val="left"/>
      <w:pPr>
        <w:ind w:left="2880" w:hanging="360"/>
      </w:pPr>
      <w:rPr>
        <w:rFonts w:ascii="Symbol" w:hAnsi="Symbol" w:hint="default"/>
      </w:rPr>
    </w:lvl>
    <w:lvl w:ilvl="4" w:tplc="676AAEC0">
      <w:start w:val="1"/>
      <w:numFmt w:val="bullet"/>
      <w:lvlText w:val="o"/>
      <w:lvlJc w:val="left"/>
      <w:pPr>
        <w:ind w:left="3600" w:hanging="360"/>
      </w:pPr>
      <w:rPr>
        <w:rFonts w:ascii="Courier New" w:hAnsi="Courier New" w:hint="default"/>
      </w:rPr>
    </w:lvl>
    <w:lvl w:ilvl="5" w:tplc="6FD6F64C">
      <w:start w:val="1"/>
      <w:numFmt w:val="bullet"/>
      <w:lvlText w:val=""/>
      <w:lvlJc w:val="left"/>
      <w:pPr>
        <w:ind w:left="4320" w:hanging="360"/>
      </w:pPr>
      <w:rPr>
        <w:rFonts w:ascii="Wingdings" w:hAnsi="Wingdings" w:hint="default"/>
      </w:rPr>
    </w:lvl>
    <w:lvl w:ilvl="6" w:tplc="836E9CF4">
      <w:start w:val="1"/>
      <w:numFmt w:val="bullet"/>
      <w:lvlText w:val=""/>
      <w:lvlJc w:val="left"/>
      <w:pPr>
        <w:ind w:left="5040" w:hanging="360"/>
      </w:pPr>
      <w:rPr>
        <w:rFonts w:ascii="Symbol" w:hAnsi="Symbol" w:hint="default"/>
      </w:rPr>
    </w:lvl>
    <w:lvl w:ilvl="7" w:tplc="D49ABB42">
      <w:start w:val="1"/>
      <w:numFmt w:val="bullet"/>
      <w:lvlText w:val="o"/>
      <w:lvlJc w:val="left"/>
      <w:pPr>
        <w:ind w:left="5760" w:hanging="360"/>
      </w:pPr>
      <w:rPr>
        <w:rFonts w:ascii="Courier New" w:hAnsi="Courier New" w:hint="default"/>
      </w:rPr>
    </w:lvl>
    <w:lvl w:ilvl="8" w:tplc="8C8A30C6">
      <w:start w:val="1"/>
      <w:numFmt w:val="bullet"/>
      <w:lvlText w:val=""/>
      <w:lvlJc w:val="left"/>
      <w:pPr>
        <w:ind w:left="6480" w:hanging="360"/>
      </w:pPr>
      <w:rPr>
        <w:rFonts w:ascii="Wingdings" w:hAnsi="Wingdings" w:hint="default"/>
      </w:rPr>
    </w:lvl>
  </w:abstractNum>
  <w:abstractNum w:abstractNumId="15" w15:restartNumberingAfterBreak="0">
    <w:nsid w:val="2AF75196"/>
    <w:multiLevelType w:val="multilevel"/>
    <w:tmpl w:val="E3C6C7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B5F1FE8"/>
    <w:multiLevelType w:val="multilevel"/>
    <w:tmpl w:val="77B62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55114A9"/>
    <w:multiLevelType w:val="hybridMultilevel"/>
    <w:tmpl w:val="B5CCC07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8" w15:restartNumberingAfterBreak="0">
    <w:nsid w:val="36DB1FF7"/>
    <w:multiLevelType w:val="multilevel"/>
    <w:tmpl w:val="160E7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9DC7555"/>
    <w:multiLevelType w:val="hybridMultilevel"/>
    <w:tmpl w:val="EB40B680"/>
    <w:lvl w:ilvl="0" w:tplc="48B851F8">
      <w:start w:val="4"/>
      <w:numFmt w:val="bullet"/>
      <w:lvlText w:val="-"/>
      <w:lvlJc w:val="left"/>
      <w:pPr>
        <w:ind w:left="720" w:hanging="360"/>
      </w:pPr>
      <w:rPr>
        <w:rFonts w:ascii="Tahoma" w:eastAsiaTheme="minorHAnsi" w:hAnsi="Tahoma" w:cs="Tahoma"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0" w15:restartNumberingAfterBreak="0">
    <w:nsid w:val="3E2A14D6"/>
    <w:multiLevelType w:val="multilevel"/>
    <w:tmpl w:val="272E5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3961AFF"/>
    <w:multiLevelType w:val="multilevel"/>
    <w:tmpl w:val="AD425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492AFE3"/>
    <w:multiLevelType w:val="multilevel"/>
    <w:tmpl w:val="09067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7CF9A6C"/>
    <w:multiLevelType w:val="multilevel"/>
    <w:tmpl w:val="ACD4E9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EA96EA9"/>
    <w:multiLevelType w:val="multilevel"/>
    <w:tmpl w:val="261ED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12657E6"/>
    <w:multiLevelType w:val="hybridMultilevel"/>
    <w:tmpl w:val="9E9A209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6" w15:restartNumberingAfterBreak="0">
    <w:nsid w:val="514C1A6B"/>
    <w:multiLevelType w:val="multilevel"/>
    <w:tmpl w:val="419C7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4823D3A"/>
    <w:multiLevelType w:val="hybridMultilevel"/>
    <w:tmpl w:val="7E261892"/>
    <w:lvl w:ilvl="0" w:tplc="3836CEE4">
      <w:start w:val="1"/>
      <w:numFmt w:val="bullet"/>
      <w:lvlText w:val=""/>
      <w:lvlJc w:val="left"/>
      <w:pPr>
        <w:ind w:left="720" w:hanging="360"/>
      </w:pPr>
      <w:rPr>
        <w:rFonts w:ascii="Symbol" w:eastAsiaTheme="minorHAnsi" w:hAnsi="Symbol" w:cstheme="minorBidi"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8" w15:restartNumberingAfterBreak="0">
    <w:nsid w:val="5E8F5799"/>
    <w:multiLevelType w:val="multilevel"/>
    <w:tmpl w:val="BCB05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3C245EF"/>
    <w:multiLevelType w:val="multilevel"/>
    <w:tmpl w:val="5F0A5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5A3764D"/>
    <w:multiLevelType w:val="multilevel"/>
    <w:tmpl w:val="6794F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5FD7775"/>
    <w:multiLevelType w:val="multilevel"/>
    <w:tmpl w:val="12B4E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8DD2114"/>
    <w:multiLevelType w:val="hybridMultilevel"/>
    <w:tmpl w:val="1130DC7C"/>
    <w:lvl w:ilvl="0" w:tplc="0D62B080">
      <w:start w:val="1"/>
      <w:numFmt w:val="decimal"/>
      <w:lvlText w:val="%1."/>
      <w:lvlJc w:val="left"/>
      <w:pPr>
        <w:ind w:left="720" w:hanging="360"/>
      </w:pPr>
      <w:rPr>
        <w:rFonts w:hint="default"/>
        <w:b/>
        <w:bCs/>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3" w15:restartNumberingAfterBreak="0">
    <w:nsid w:val="691D3824"/>
    <w:multiLevelType w:val="multilevel"/>
    <w:tmpl w:val="0B1EC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AD0108F"/>
    <w:multiLevelType w:val="multilevel"/>
    <w:tmpl w:val="4A76E4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4F36098"/>
    <w:multiLevelType w:val="hybridMultilevel"/>
    <w:tmpl w:val="9D7C21A4"/>
    <w:lvl w:ilvl="0" w:tplc="5678A724">
      <w:numFmt w:val="bullet"/>
      <w:lvlText w:val="-"/>
      <w:lvlJc w:val="left"/>
      <w:pPr>
        <w:ind w:left="720" w:hanging="360"/>
      </w:pPr>
      <w:rPr>
        <w:rFonts w:ascii="Tahoma" w:eastAsiaTheme="minorHAnsi" w:hAnsi="Tahoma" w:cs="Tahoma"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6" w15:restartNumberingAfterBreak="0">
    <w:nsid w:val="753078E3"/>
    <w:multiLevelType w:val="hybridMultilevel"/>
    <w:tmpl w:val="C5E8CCA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7" w15:restartNumberingAfterBreak="0">
    <w:nsid w:val="78605EE1"/>
    <w:multiLevelType w:val="multilevel"/>
    <w:tmpl w:val="4AFC2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D090BCC"/>
    <w:multiLevelType w:val="multilevel"/>
    <w:tmpl w:val="995E1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FCD2553"/>
    <w:multiLevelType w:val="multilevel"/>
    <w:tmpl w:val="22321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329406039">
    <w:abstractNumId w:val="2"/>
  </w:num>
  <w:num w:numId="2" w16cid:durableId="1708949323">
    <w:abstractNumId w:val="23"/>
  </w:num>
  <w:num w:numId="3" w16cid:durableId="248270244">
    <w:abstractNumId w:val="1"/>
  </w:num>
  <w:num w:numId="4" w16cid:durableId="1279070870">
    <w:abstractNumId w:val="34"/>
  </w:num>
  <w:num w:numId="5" w16cid:durableId="154032391">
    <w:abstractNumId w:val="22"/>
  </w:num>
  <w:num w:numId="6" w16cid:durableId="1032075069">
    <w:abstractNumId w:val="15"/>
  </w:num>
  <w:num w:numId="7" w16cid:durableId="1897734861">
    <w:abstractNumId w:val="14"/>
  </w:num>
  <w:num w:numId="8" w16cid:durableId="1567836741">
    <w:abstractNumId w:val="6"/>
  </w:num>
  <w:num w:numId="9" w16cid:durableId="1174683369">
    <w:abstractNumId w:val="17"/>
  </w:num>
  <w:num w:numId="10" w16cid:durableId="1382705818">
    <w:abstractNumId w:val="11"/>
  </w:num>
  <w:num w:numId="11" w16cid:durableId="924997211">
    <w:abstractNumId w:val="4"/>
  </w:num>
  <w:num w:numId="12" w16cid:durableId="799419173">
    <w:abstractNumId w:val="36"/>
  </w:num>
  <w:num w:numId="13" w16cid:durableId="291836646">
    <w:abstractNumId w:val="35"/>
  </w:num>
  <w:num w:numId="14" w16cid:durableId="723337290">
    <w:abstractNumId w:val="7"/>
  </w:num>
  <w:num w:numId="15" w16cid:durableId="282349713">
    <w:abstractNumId w:val="5"/>
  </w:num>
  <w:num w:numId="16" w16cid:durableId="284166918">
    <w:abstractNumId w:val="13"/>
  </w:num>
  <w:num w:numId="17" w16cid:durableId="34745170">
    <w:abstractNumId w:val="32"/>
  </w:num>
  <w:num w:numId="18" w16cid:durableId="1802308081">
    <w:abstractNumId w:val="10"/>
  </w:num>
  <w:num w:numId="19" w16cid:durableId="656691002">
    <w:abstractNumId w:val="19"/>
  </w:num>
  <w:num w:numId="20" w16cid:durableId="1492716767">
    <w:abstractNumId w:val="20"/>
  </w:num>
  <w:num w:numId="21" w16cid:durableId="757673370">
    <w:abstractNumId w:val="28"/>
  </w:num>
  <w:num w:numId="22" w16cid:durableId="1554466289">
    <w:abstractNumId w:val="29"/>
  </w:num>
  <w:num w:numId="23" w16cid:durableId="1098522973">
    <w:abstractNumId w:val="9"/>
  </w:num>
  <w:num w:numId="24" w16cid:durableId="1714649499">
    <w:abstractNumId w:val="0"/>
  </w:num>
  <w:num w:numId="25" w16cid:durableId="738867732">
    <w:abstractNumId w:val="30"/>
  </w:num>
  <w:num w:numId="26" w16cid:durableId="644818862">
    <w:abstractNumId w:val="8"/>
  </w:num>
  <w:num w:numId="27" w16cid:durableId="1866090950">
    <w:abstractNumId w:val="21"/>
  </w:num>
  <w:num w:numId="28" w16cid:durableId="1233781429">
    <w:abstractNumId w:val="38"/>
  </w:num>
  <w:num w:numId="29" w16cid:durableId="1838569363">
    <w:abstractNumId w:val="37"/>
  </w:num>
  <w:num w:numId="30" w16cid:durableId="1929118571">
    <w:abstractNumId w:val="39"/>
  </w:num>
  <w:num w:numId="31" w16cid:durableId="1843276679">
    <w:abstractNumId w:val="33"/>
  </w:num>
  <w:num w:numId="32" w16cid:durableId="884948639">
    <w:abstractNumId w:val="24"/>
  </w:num>
  <w:num w:numId="33" w16cid:durableId="757604473">
    <w:abstractNumId w:val="3"/>
  </w:num>
  <w:num w:numId="34" w16cid:durableId="1771966798">
    <w:abstractNumId w:val="26"/>
  </w:num>
  <w:num w:numId="35" w16cid:durableId="829174874">
    <w:abstractNumId w:val="16"/>
  </w:num>
  <w:num w:numId="36" w16cid:durableId="1883975714">
    <w:abstractNumId w:val="31"/>
  </w:num>
  <w:num w:numId="37" w16cid:durableId="1324432373">
    <w:abstractNumId w:val="12"/>
  </w:num>
  <w:num w:numId="38" w16cid:durableId="1443458490">
    <w:abstractNumId w:val="18"/>
  </w:num>
  <w:num w:numId="39" w16cid:durableId="1862428355">
    <w:abstractNumId w:val="27"/>
  </w:num>
  <w:num w:numId="40" w16cid:durableId="12335165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00D5"/>
    <w:rsid w:val="00011811"/>
    <w:rsid w:val="00023663"/>
    <w:rsid w:val="00030A77"/>
    <w:rsid w:val="00071462"/>
    <w:rsid w:val="00075A8E"/>
    <w:rsid w:val="00076BD0"/>
    <w:rsid w:val="00092DC8"/>
    <w:rsid w:val="000D0254"/>
    <w:rsid w:val="000F02A0"/>
    <w:rsid w:val="00145159"/>
    <w:rsid w:val="00157533"/>
    <w:rsid w:val="00157C00"/>
    <w:rsid w:val="001648FD"/>
    <w:rsid w:val="001E0E75"/>
    <w:rsid w:val="001E4EE4"/>
    <w:rsid w:val="00202F55"/>
    <w:rsid w:val="002136A2"/>
    <w:rsid w:val="002252BC"/>
    <w:rsid w:val="002A7CDC"/>
    <w:rsid w:val="002E4C12"/>
    <w:rsid w:val="002E673A"/>
    <w:rsid w:val="00301887"/>
    <w:rsid w:val="00303680"/>
    <w:rsid w:val="003173E7"/>
    <w:rsid w:val="003542D7"/>
    <w:rsid w:val="003602DC"/>
    <w:rsid w:val="0036197C"/>
    <w:rsid w:val="003870F1"/>
    <w:rsid w:val="00392365"/>
    <w:rsid w:val="003937A8"/>
    <w:rsid w:val="003A6B59"/>
    <w:rsid w:val="003B7E42"/>
    <w:rsid w:val="003C000F"/>
    <w:rsid w:val="00405CDD"/>
    <w:rsid w:val="00417535"/>
    <w:rsid w:val="00422351"/>
    <w:rsid w:val="00461170"/>
    <w:rsid w:val="00463A6A"/>
    <w:rsid w:val="004773A8"/>
    <w:rsid w:val="00486CEF"/>
    <w:rsid w:val="00491B1D"/>
    <w:rsid w:val="004E7F65"/>
    <w:rsid w:val="004F74C6"/>
    <w:rsid w:val="00505A70"/>
    <w:rsid w:val="00533D9B"/>
    <w:rsid w:val="005601EE"/>
    <w:rsid w:val="005714CD"/>
    <w:rsid w:val="00577A58"/>
    <w:rsid w:val="00584E36"/>
    <w:rsid w:val="005C2689"/>
    <w:rsid w:val="005C313B"/>
    <w:rsid w:val="006000B6"/>
    <w:rsid w:val="00605162"/>
    <w:rsid w:val="00611E7B"/>
    <w:rsid w:val="006221C8"/>
    <w:rsid w:val="00641B00"/>
    <w:rsid w:val="00645EE0"/>
    <w:rsid w:val="00667254"/>
    <w:rsid w:val="00670FBE"/>
    <w:rsid w:val="006749B2"/>
    <w:rsid w:val="006C65A3"/>
    <w:rsid w:val="006D00D5"/>
    <w:rsid w:val="006F6C14"/>
    <w:rsid w:val="007179CD"/>
    <w:rsid w:val="00722E75"/>
    <w:rsid w:val="0072407C"/>
    <w:rsid w:val="00735B10"/>
    <w:rsid w:val="00747722"/>
    <w:rsid w:val="00771992"/>
    <w:rsid w:val="007A3F75"/>
    <w:rsid w:val="007A5E04"/>
    <w:rsid w:val="007E6296"/>
    <w:rsid w:val="007F5C59"/>
    <w:rsid w:val="00811F54"/>
    <w:rsid w:val="00823E0C"/>
    <w:rsid w:val="00825005"/>
    <w:rsid w:val="00831301"/>
    <w:rsid w:val="008705A4"/>
    <w:rsid w:val="00880BFB"/>
    <w:rsid w:val="008B6743"/>
    <w:rsid w:val="008C6F41"/>
    <w:rsid w:val="008E6C6B"/>
    <w:rsid w:val="00971CDA"/>
    <w:rsid w:val="009913A3"/>
    <w:rsid w:val="009D2D5D"/>
    <w:rsid w:val="009E1B6D"/>
    <w:rsid w:val="00A0300D"/>
    <w:rsid w:val="00A03835"/>
    <w:rsid w:val="00A11870"/>
    <w:rsid w:val="00A24005"/>
    <w:rsid w:val="00A54E94"/>
    <w:rsid w:val="00AB3E0F"/>
    <w:rsid w:val="00AC754E"/>
    <w:rsid w:val="00AF575B"/>
    <w:rsid w:val="00B053ED"/>
    <w:rsid w:val="00B65547"/>
    <w:rsid w:val="00B75FF5"/>
    <w:rsid w:val="00B81542"/>
    <w:rsid w:val="00BF2C2F"/>
    <w:rsid w:val="00C327E6"/>
    <w:rsid w:val="00C42BEC"/>
    <w:rsid w:val="00C50C8B"/>
    <w:rsid w:val="00C52836"/>
    <w:rsid w:val="00C532E8"/>
    <w:rsid w:val="00CE3BB3"/>
    <w:rsid w:val="00CE3F2F"/>
    <w:rsid w:val="00CE41AF"/>
    <w:rsid w:val="00CE7538"/>
    <w:rsid w:val="00D14BAC"/>
    <w:rsid w:val="00D34F8A"/>
    <w:rsid w:val="00D44E07"/>
    <w:rsid w:val="00D4501C"/>
    <w:rsid w:val="00D544D1"/>
    <w:rsid w:val="00DA03DA"/>
    <w:rsid w:val="00DA30A8"/>
    <w:rsid w:val="00DB0114"/>
    <w:rsid w:val="00DB066D"/>
    <w:rsid w:val="00DB0D4A"/>
    <w:rsid w:val="00DD4E96"/>
    <w:rsid w:val="00DE43BC"/>
    <w:rsid w:val="00DF1BB7"/>
    <w:rsid w:val="00DF39A9"/>
    <w:rsid w:val="00E01B59"/>
    <w:rsid w:val="00E2046F"/>
    <w:rsid w:val="00E53583"/>
    <w:rsid w:val="00E71780"/>
    <w:rsid w:val="00EE3142"/>
    <w:rsid w:val="00EF4D4C"/>
    <w:rsid w:val="00F03597"/>
    <w:rsid w:val="00F23492"/>
    <w:rsid w:val="00F31AB2"/>
    <w:rsid w:val="00F44CFA"/>
    <w:rsid w:val="00F64A22"/>
    <w:rsid w:val="00F715D0"/>
    <w:rsid w:val="00F86675"/>
    <w:rsid w:val="00FD5823"/>
    <w:rsid w:val="00FE0E54"/>
    <w:rsid w:val="00FE1666"/>
    <w:rsid w:val="00FE5212"/>
    <w:rsid w:val="00FF06C1"/>
    <w:rsid w:val="00FF60A5"/>
    <w:rsid w:val="0251788C"/>
    <w:rsid w:val="02FE24CA"/>
    <w:rsid w:val="030E4ACF"/>
    <w:rsid w:val="03EE4D0D"/>
    <w:rsid w:val="042FE69F"/>
    <w:rsid w:val="0448C72F"/>
    <w:rsid w:val="0477BC37"/>
    <w:rsid w:val="055685E5"/>
    <w:rsid w:val="05AE5F2D"/>
    <w:rsid w:val="05F59E6F"/>
    <w:rsid w:val="0620347C"/>
    <w:rsid w:val="062EC340"/>
    <w:rsid w:val="06448A12"/>
    <w:rsid w:val="06876DA5"/>
    <w:rsid w:val="06BDD0AA"/>
    <w:rsid w:val="07156C2D"/>
    <w:rsid w:val="074F8DC8"/>
    <w:rsid w:val="08061258"/>
    <w:rsid w:val="0899FC99"/>
    <w:rsid w:val="08A906FD"/>
    <w:rsid w:val="097F39C0"/>
    <w:rsid w:val="09AEBA3E"/>
    <w:rsid w:val="0A342F7F"/>
    <w:rsid w:val="0B4BFD73"/>
    <w:rsid w:val="0B6B887A"/>
    <w:rsid w:val="0B96C6D4"/>
    <w:rsid w:val="0BAEF7ED"/>
    <w:rsid w:val="0BCD41BA"/>
    <w:rsid w:val="0C592A5F"/>
    <w:rsid w:val="0C93AAFA"/>
    <w:rsid w:val="0C93C5E0"/>
    <w:rsid w:val="0CA67BCB"/>
    <w:rsid w:val="0CE99F3A"/>
    <w:rsid w:val="0D02A0DB"/>
    <w:rsid w:val="0D179475"/>
    <w:rsid w:val="0E1490CC"/>
    <w:rsid w:val="0E772490"/>
    <w:rsid w:val="0F80C8F2"/>
    <w:rsid w:val="0FB1A1FC"/>
    <w:rsid w:val="10EDCF1F"/>
    <w:rsid w:val="11E4C9A7"/>
    <w:rsid w:val="1278E7F2"/>
    <w:rsid w:val="129FC43C"/>
    <w:rsid w:val="1328EC1E"/>
    <w:rsid w:val="1337CE63"/>
    <w:rsid w:val="13DCD0F5"/>
    <w:rsid w:val="144F3E88"/>
    <w:rsid w:val="145A6E30"/>
    <w:rsid w:val="14ACA649"/>
    <w:rsid w:val="154BC015"/>
    <w:rsid w:val="158E88FA"/>
    <w:rsid w:val="16106235"/>
    <w:rsid w:val="16F0B47B"/>
    <w:rsid w:val="1702C18E"/>
    <w:rsid w:val="1722EE06"/>
    <w:rsid w:val="17426B83"/>
    <w:rsid w:val="176997AF"/>
    <w:rsid w:val="1834893D"/>
    <w:rsid w:val="18720909"/>
    <w:rsid w:val="187ABF49"/>
    <w:rsid w:val="18D1AE79"/>
    <w:rsid w:val="19143E37"/>
    <w:rsid w:val="1940AB88"/>
    <w:rsid w:val="1A0303C2"/>
    <w:rsid w:val="1A745D5A"/>
    <w:rsid w:val="1A92D841"/>
    <w:rsid w:val="1AF1190B"/>
    <w:rsid w:val="1B19A350"/>
    <w:rsid w:val="1BE5FF33"/>
    <w:rsid w:val="1C08BED0"/>
    <w:rsid w:val="1CC58C50"/>
    <w:rsid w:val="1D345832"/>
    <w:rsid w:val="1E7707CA"/>
    <w:rsid w:val="1EDCED93"/>
    <w:rsid w:val="1EE85C4E"/>
    <w:rsid w:val="1F44041E"/>
    <w:rsid w:val="1F5625B3"/>
    <w:rsid w:val="20780AC6"/>
    <w:rsid w:val="20B2469E"/>
    <w:rsid w:val="2105A2D6"/>
    <w:rsid w:val="2205542E"/>
    <w:rsid w:val="246EEC92"/>
    <w:rsid w:val="24E00513"/>
    <w:rsid w:val="24E6F4B7"/>
    <w:rsid w:val="25C143C7"/>
    <w:rsid w:val="25DCFA18"/>
    <w:rsid w:val="267FF158"/>
    <w:rsid w:val="26B8DD14"/>
    <w:rsid w:val="26DDC584"/>
    <w:rsid w:val="27467154"/>
    <w:rsid w:val="2858963D"/>
    <w:rsid w:val="285F70C5"/>
    <w:rsid w:val="2920BD02"/>
    <w:rsid w:val="292FFE89"/>
    <w:rsid w:val="29A042F7"/>
    <w:rsid w:val="2A9F89C4"/>
    <w:rsid w:val="2AA1361B"/>
    <w:rsid w:val="2B1C0932"/>
    <w:rsid w:val="2B26C6F1"/>
    <w:rsid w:val="2B61FCD4"/>
    <w:rsid w:val="2BA18580"/>
    <w:rsid w:val="2C5A355B"/>
    <w:rsid w:val="2C8E4E0F"/>
    <w:rsid w:val="2CE8B792"/>
    <w:rsid w:val="2DD71D99"/>
    <w:rsid w:val="2DDEE80B"/>
    <w:rsid w:val="2E61FB77"/>
    <w:rsid w:val="2F85ACFA"/>
    <w:rsid w:val="2FD132D7"/>
    <w:rsid w:val="305A07AB"/>
    <w:rsid w:val="30A73191"/>
    <w:rsid w:val="30E1C664"/>
    <w:rsid w:val="31631981"/>
    <w:rsid w:val="316B1EFF"/>
    <w:rsid w:val="319E4938"/>
    <w:rsid w:val="322E44FD"/>
    <w:rsid w:val="32959918"/>
    <w:rsid w:val="33424A43"/>
    <w:rsid w:val="3362F5E9"/>
    <w:rsid w:val="3416980B"/>
    <w:rsid w:val="3485E227"/>
    <w:rsid w:val="3498A8E6"/>
    <w:rsid w:val="34A73652"/>
    <w:rsid w:val="34BFC3E6"/>
    <w:rsid w:val="34C10529"/>
    <w:rsid w:val="35798869"/>
    <w:rsid w:val="359AEC24"/>
    <w:rsid w:val="366D2CC5"/>
    <w:rsid w:val="36811C6F"/>
    <w:rsid w:val="377FCCA3"/>
    <w:rsid w:val="379DA2B2"/>
    <w:rsid w:val="37B3464A"/>
    <w:rsid w:val="37E5F2C9"/>
    <w:rsid w:val="385B740A"/>
    <w:rsid w:val="39427130"/>
    <w:rsid w:val="399EF2F7"/>
    <w:rsid w:val="39B10B05"/>
    <w:rsid w:val="3A33BD70"/>
    <w:rsid w:val="3A4A4666"/>
    <w:rsid w:val="3A9CA85B"/>
    <w:rsid w:val="3AE82D0C"/>
    <w:rsid w:val="3B3C6923"/>
    <w:rsid w:val="3B7A8609"/>
    <w:rsid w:val="3BA0AA76"/>
    <w:rsid w:val="3BE4EAB2"/>
    <w:rsid w:val="3C003A5B"/>
    <w:rsid w:val="3CAF6FD0"/>
    <w:rsid w:val="3CD4A1FE"/>
    <w:rsid w:val="3DC09C5B"/>
    <w:rsid w:val="3E68AB8E"/>
    <w:rsid w:val="3EBA13BC"/>
    <w:rsid w:val="3F9E1A65"/>
    <w:rsid w:val="3FA71270"/>
    <w:rsid w:val="40308F42"/>
    <w:rsid w:val="408838EA"/>
    <w:rsid w:val="40D7CEDB"/>
    <w:rsid w:val="411DFCE9"/>
    <w:rsid w:val="4265F6A6"/>
    <w:rsid w:val="434FBF6F"/>
    <w:rsid w:val="438FA366"/>
    <w:rsid w:val="43B78A7D"/>
    <w:rsid w:val="44482D0E"/>
    <w:rsid w:val="44BA2AEC"/>
    <w:rsid w:val="4506FF47"/>
    <w:rsid w:val="451A4E22"/>
    <w:rsid w:val="4571DBA3"/>
    <w:rsid w:val="4594CC85"/>
    <w:rsid w:val="459B2B96"/>
    <w:rsid w:val="45FBAE05"/>
    <w:rsid w:val="460E92BD"/>
    <w:rsid w:val="47A4FC27"/>
    <w:rsid w:val="4840A38D"/>
    <w:rsid w:val="4918F0C3"/>
    <w:rsid w:val="49356DDC"/>
    <w:rsid w:val="495C7730"/>
    <w:rsid w:val="49C08512"/>
    <w:rsid w:val="4A1174C0"/>
    <w:rsid w:val="4A7112FE"/>
    <w:rsid w:val="4ABC9E71"/>
    <w:rsid w:val="4AD21095"/>
    <w:rsid w:val="4B42E7A7"/>
    <w:rsid w:val="4BED38E2"/>
    <w:rsid w:val="4BF4607C"/>
    <w:rsid w:val="4C66EBB6"/>
    <w:rsid w:val="4D15B410"/>
    <w:rsid w:val="4D45E3C2"/>
    <w:rsid w:val="4DC196AB"/>
    <w:rsid w:val="4DD6EEDD"/>
    <w:rsid w:val="4E585C05"/>
    <w:rsid w:val="4EAC1902"/>
    <w:rsid w:val="4EE75F5C"/>
    <w:rsid w:val="4F33FD91"/>
    <w:rsid w:val="4F35F632"/>
    <w:rsid w:val="4F6E6E6C"/>
    <w:rsid w:val="5091A8BF"/>
    <w:rsid w:val="50A893A6"/>
    <w:rsid w:val="520C6A00"/>
    <w:rsid w:val="5242CF6B"/>
    <w:rsid w:val="52AB0C3E"/>
    <w:rsid w:val="5318C91E"/>
    <w:rsid w:val="5368BBF5"/>
    <w:rsid w:val="53D24EDD"/>
    <w:rsid w:val="5455548B"/>
    <w:rsid w:val="547963E6"/>
    <w:rsid w:val="54B2CC06"/>
    <w:rsid w:val="550532DB"/>
    <w:rsid w:val="55422ADB"/>
    <w:rsid w:val="5551057A"/>
    <w:rsid w:val="558E171D"/>
    <w:rsid w:val="571C81CC"/>
    <w:rsid w:val="574B6030"/>
    <w:rsid w:val="57635E93"/>
    <w:rsid w:val="57B8CEE2"/>
    <w:rsid w:val="58CA3C11"/>
    <w:rsid w:val="58D7018C"/>
    <w:rsid w:val="5942E017"/>
    <w:rsid w:val="5975B81C"/>
    <w:rsid w:val="5981B696"/>
    <w:rsid w:val="59CA59F0"/>
    <w:rsid w:val="59D7208E"/>
    <w:rsid w:val="5A3734A1"/>
    <w:rsid w:val="5A8F2C3A"/>
    <w:rsid w:val="5AACCABB"/>
    <w:rsid w:val="5B26832E"/>
    <w:rsid w:val="5B515D27"/>
    <w:rsid w:val="5B7240CB"/>
    <w:rsid w:val="5BD357B7"/>
    <w:rsid w:val="5D6F15C8"/>
    <w:rsid w:val="5D793B34"/>
    <w:rsid w:val="5E9532B8"/>
    <w:rsid w:val="5EA184FB"/>
    <w:rsid w:val="5F8B9DD3"/>
    <w:rsid w:val="6009048D"/>
    <w:rsid w:val="604814DC"/>
    <w:rsid w:val="60F6095B"/>
    <w:rsid w:val="612B8B41"/>
    <w:rsid w:val="613516F0"/>
    <w:rsid w:val="61BE1070"/>
    <w:rsid w:val="622D243E"/>
    <w:rsid w:val="6284BD4B"/>
    <w:rsid w:val="62F22B70"/>
    <w:rsid w:val="6332064A"/>
    <w:rsid w:val="6442BDF3"/>
    <w:rsid w:val="648050BD"/>
    <w:rsid w:val="6510D378"/>
    <w:rsid w:val="6534D51A"/>
    <w:rsid w:val="653E8969"/>
    <w:rsid w:val="656311CE"/>
    <w:rsid w:val="6719F49D"/>
    <w:rsid w:val="676F0C03"/>
    <w:rsid w:val="6786D12B"/>
    <w:rsid w:val="682E79FF"/>
    <w:rsid w:val="68BCCE7C"/>
    <w:rsid w:val="68E30197"/>
    <w:rsid w:val="68ED8907"/>
    <w:rsid w:val="6980A387"/>
    <w:rsid w:val="69A4158C"/>
    <w:rsid w:val="6A208311"/>
    <w:rsid w:val="6A6B836C"/>
    <w:rsid w:val="6AA802EF"/>
    <w:rsid w:val="6B54EE4C"/>
    <w:rsid w:val="6CD76CFC"/>
    <w:rsid w:val="6CF94897"/>
    <w:rsid w:val="6CFC6D48"/>
    <w:rsid w:val="6DC5F657"/>
    <w:rsid w:val="6E8F06F8"/>
    <w:rsid w:val="6ECC4349"/>
    <w:rsid w:val="6F0002BB"/>
    <w:rsid w:val="6FB57B58"/>
    <w:rsid w:val="700ACF84"/>
    <w:rsid w:val="7128D646"/>
    <w:rsid w:val="7168F6E4"/>
    <w:rsid w:val="723316C6"/>
    <w:rsid w:val="723D0C40"/>
    <w:rsid w:val="72BD201C"/>
    <w:rsid w:val="73091A2A"/>
    <w:rsid w:val="73640F33"/>
    <w:rsid w:val="73983A94"/>
    <w:rsid w:val="7412206B"/>
    <w:rsid w:val="74403FD0"/>
    <w:rsid w:val="7494079D"/>
    <w:rsid w:val="7555EE99"/>
    <w:rsid w:val="759C8364"/>
    <w:rsid w:val="75EBA47B"/>
    <w:rsid w:val="760032E3"/>
    <w:rsid w:val="76BE6E83"/>
    <w:rsid w:val="76C1D408"/>
    <w:rsid w:val="76E7CC04"/>
    <w:rsid w:val="770819D7"/>
    <w:rsid w:val="77AF1DE7"/>
    <w:rsid w:val="78BE29F2"/>
    <w:rsid w:val="78F62D15"/>
    <w:rsid w:val="79B32BE6"/>
    <w:rsid w:val="79B4F496"/>
    <w:rsid w:val="79CFE9AD"/>
    <w:rsid w:val="7A215A23"/>
    <w:rsid w:val="7A6D5762"/>
    <w:rsid w:val="7A9E4851"/>
    <w:rsid w:val="7AE81442"/>
    <w:rsid w:val="7C0896D6"/>
    <w:rsid w:val="7C944671"/>
    <w:rsid w:val="7D4F8868"/>
    <w:rsid w:val="7E06109C"/>
    <w:rsid w:val="7FA1655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F06926"/>
  <w15:chartTrackingRefBased/>
  <w15:docId w15:val="{1E2204C1-CBC5-664C-B06D-B2C7BE0A10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E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3E0C"/>
    <w:rPr>
      <w:rFonts w:ascii="Tahoma" w:hAnsi="Tahoma"/>
    </w:rPr>
  </w:style>
  <w:style w:type="paragraph" w:styleId="Ttulo1">
    <w:name w:val="heading 1"/>
    <w:basedOn w:val="Normal"/>
    <w:next w:val="Normal"/>
    <w:link w:val="Ttulo1Car"/>
    <w:autoRedefine/>
    <w:uiPriority w:val="9"/>
    <w:qFormat/>
    <w:rsid w:val="00823E0C"/>
    <w:pPr>
      <w:keepNext/>
      <w:keepLines/>
      <w:spacing w:before="240" w:line="360" w:lineRule="auto"/>
      <w:outlineLvl w:val="0"/>
    </w:pPr>
    <w:rPr>
      <w:rFonts w:eastAsiaTheme="majorEastAsia" w:cstheme="majorBidi"/>
      <w:b/>
      <w:szCs w:val="32"/>
    </w:rPr>
  </w:style>
  <w:style w:type="paragraph" w:styleId="Ttulo2">
    <w:name w:val="heading 2"/>
    <w:basedOn w:val="Normal"/>
    <w:next w:val="Normal"/>
    <w:link w:val="Ttulo2Car"/>
    <w:autoRedefine/>
    <w:uiPriority w:val="9"/>
    <w:unhideWhenUsed/>
    <w:qFormat/>
    <w:rsid w:val="00667254"/>
    <w:pPr>
      <w:keepNext/>
      <w:keepLines/>
      <w:spacing w:before="40" w:line="360" w:lineRule="auto"/>
      <w:outlineLvl w:val="1"/>
    </w:pPr>
    <w:rPr>
      <w:rFonts w:eastAsiaTheme="majorEastAsia" w:cstheme="majorBidi"/>
      <w:b/>
      <w:color w:val="000000" w:themeColor="text1"/>
      <w:kern w:val="0"/>
      <w:sz w:val="26"/>
      <w:szCs w:val="26"/>
      <w:lang w:eastAsia="es-ES_tradnl"/>
      <w14:ligatures w14:val="none"/>
    </w:rPr>
  </w:style>
  <w:style w:type="paragraph" w:styleId="Ttulo3">
    <w:name w:val="heading 3"/>
    <w:basedOn w:val="Normal"/>
    <w:next w:val="Normal"/>
    <w:link w:val="Ttulo3Car"/>
    <w:autoRedefine/>
    <w:uiPriority w:val="9"/>
    <w:unhideWhenUsed/>
    <w:qFormat/>
    <w:rsid w:val="00AB3E0F"/>
    <w:pPr>
      <w:keepNext/>
      <w:keepLines/>
      <w:spacing w:before="40" w:line="360" w:lineRule="auto"/>
      <w:outlineLvl w:val="2"/>
    </w:pPr>
    <w:rPr>
      <w:rFonts w:eastAsiaTheme="majorEastAsia" w:cstheme="majorBidi"/>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23E0C"/>
    <w:rPr>
      <w:rFonts w:ascii="Tahoma" w:eastAsiaTheme="majorEastAsia" w:hAnsi="Tahoma" w:cstheme="majorBidi"/>
      <w:b/>
      <w:szCs w:val="32"/>
    </w:rPr>
  </w:style>
  <w:style w:type="character" w:customStyle="1" w:styleId="Ttulo2Car">
    <w:name w:val="Título 2 Car"/>
    <w:basedOn w:val="Fuentedeprrafopredeter"/>
    <w:link w:val="Ttulo2"/>
    <w:uiPriority w:val="9"/>
    <w:rsid w:val="00667254"/>
    <w:rPr>
      <w:rFonts w:ascii="Tahoma" w:eastAsiaTheme="majorEastAsia" w:hAnsi="Tahoma" w:cstheme="majorBidi"/>
      <w:b/>
      <w:color w:val="000000" w:themeColor="text1"/>
      <w:kern w:val="0"/>
      <w:sz w:val="26"/>
      <w:szCs w:val="26"/>
      <w:lang w:eastAsia="es-ES_tradnl"/>
      <w14:ligatures w14:val="none"/>
    </w:rPr>
  </w:style>
  <w:style w:type="character" w:customStyle="1" w:styleId="Ttulo3Car">
    <w:name w:val="Título 3 Car"/>
    <w:basedOn w:val="Fuentedeprrafopredeter"/>
    <w:link w:val="Ttulo3"/>
    <w:uiPriority w:val="9"/>
    <w:rsid w:val="00AB3E0F"/>
    <w:rPr>
      <w:rFonts w:ascii="Tahoma" w:eastAsiaTheme="majorEastAsia" w:hAnsi="Tahoma" w:cstheme="majorBidi"/>
      <w:b/>
    </w:rPr>
  </w:style>
  <w:style w:type="paragraph" w:customStyle="1" w:styleId="ds-markdown-paragraph">
    <w:name w:val="ds-markdown-paragraph"/>
    <w:basedOn w:val="Normal"/>
    <w:rsid w:val="006D00D5"/>
    <w:pPr>
      <w:spacing w:before="100" w:beforeAutospacing="1" w:after="100" w:afterAutospacing="1"/>
    </w:pPr>
    <w:rPr>
      <w:rFonts w:ascii="Times New Roman" w:eastAsia="Times New Roman" w:hAnsi="Times New Roman" w:cs="Times New Roman"/>
      <w:kern w:val="0"/>
      <w:lang w:eastAsia="es-ES_tradnl"/>
      <w14:ligatures w14:val="none"/>
    </w:rPr>
  </w:style>
  <w:style w:type="character" w:styleId="Textoennegrita">
    <w:name w:val="Strong"/>
    <w:basedOn w:val="Fuentedeprrafopredeter"/>
    <w:uiPriority w:val="22"/>
    <w:qFormat/>
    <w:rsid w:val="006D00D5"/>
    <w:rPr>
      <w:b/>
      <w:bCs/>
    </w:rPr>
  </w:style>
  <w:style w:type="table" w:styleId="Tablanormal2">
    <w:name w:val="Plain Table 2"/>
    <w:basedOn w:val="Tablanormal"/>
    <w:uiPriority w:val="42"/>
    <w:rsid w:val="006D00D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Prrafodelista">
    <w:name w:val="List Paragraph"/>
    <w:basedOn w:val="Normal"/>
    <w:uiPriority w:val="34"/>
    <w:qFormat/>
    <w:rsid w:val="006D00D5"/>
    <w:pPr>
      <w:ind w:left="720"/>
      <w:contextualSpacing/>
    </w:pPr>
  </w:style>
  <w:style w:type="character" w:customStyle="1" w:styleId="apple-converted-space">
    <w:name w:val="apple-converted-space"/>
    <w:basedOn w:val="Fuentedeprrafopredeter"/>
    <w:rsid w:val="003C000F"/>
  </w:style>
  <w:style w:type="table" w:styleId="Tablaconcuadrculaclara">
    <w:name w:val="Grid Table Light"/>
    <w:basedOn w:val="Tablanormal"/>
    <w:uiPriority w:val="40"/>
    <w:rsid w:val="00584E3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nfasis">
    <w:name w:val="Emphasis"/>
    <w:basedOn w:val="Fuentedeprrafopredeter"/>
    <w:uiPriority w:val="20"/>
    <w:qFormat/>
    <w:rsid w:val="00584E36"/>
    <w:rPr>
      <w:i/>
      <w:iCs/>
    </w:rPr>
  </w:style>
  <w:style w:type="paragraph" w:customStyle="1" w:styleId="paragraph">
    <w:name w:val="paragraph"/>
    <w:basedOn w:val="Normal"/>
    <w:rsid w:val="00EE3142"/>
    <w:pPr>
      <w:spacing w:before="100" w:beforeAutospacing="1" w:after="100" w:afterAutospacing="1"/>
    </w:pPr>
    <w:rPr>
      <w:rFonts w:ascii="Times New Roman" w:eastAsia="Times New Roman" w:hAnsi="Times New Roman" w:cs="Times New Roman"/>
      <w:kern w:val="0"/>
      <w:lang w:eastAsia="es-ES_tradnl"/>
      <w14:ligatures w14:val="none"/>
    </w:rPr>
  </w:style>
  <w:style w:type="character" w:customStyle="1" w:styleId="normaltextrun">
    <w:name w:val="normaltextrun"/>
    <w:basedOn w:val="Fuentedeprrafopredeter"/>
    <w:rsid w:val="00EE3142"/>
  </w:style>
  <w:style w:type="character" w:customStyle="1" w:styleId="eop">
    <w:name w:val="eop"/>
    <w:basedOn w:val="Fuentedeprrafopredeter"/>
    <w:rsid w:val="00EE3142"/>
  </w:style>
  <w:style w:type="table" w:styleId="Tablaconcuadrcula">
    <w:name w:val="Table Grid"/>
    <w:basedOn w:val="Tablanormal"/>
    <w:uiPriority w:val="39"/>
    <w:rsid w:val="00FE52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157533"/>
    <w:pPr>
      <w:tabs>
        <w:tab w:val="center" w:pos="4419"/>
        <w:tab w:val="right" w:pos="8838"/>
      </w:tabs>
    </w:pPr>
  </w:style>
  <w:style w:type="character" w:customStyle="1" w:styleId="EncabezadoCar">
    <w:name w:val="Encabezado Car"/>
    <w:basedOn w:val="Fuentedeprrafopredeter"/>
    <w:link w:val="Encabezado"/>
    <w:uiPriority w:val="99"/>
    <w:rsid w:val="00157533"/>
    <w:rPr>
      <w:rFonts w:ascii="Tahoma" w:hAnsi="Tahoma"/>
    </w:rPr>
  </w:style>
  <w:style w:type="paragraph" w:styleId="Piedepgina">
    <w:name w:val="footer"/>
    <w:basedOn w:val="Normal"/>
    <w:link w:val="PiedepginaCar"/>
    <w:uiPriority w:val="99"/>
    <w:unhideWhenUsed/>
    <w:rsid w:val="00157533"/>
    <w:pPr>
      <w:tabs>
        <w:tab w:val="center" w:pos="4419"/>
        <w:tab w:val="right" w:pos="8838"/>
      </w:tabs>
    </w:pPr>
  </w:style>
  <w:style w:type="character" w:customStyle="1" w:styleId="PiedepginaCar">
    <w:name w:val="Pie de página Car"/>
    <w:basedOn w:val="Fuentedeprrafopredeter"/>
    <w:link w:val="Piedepgina"/>
    <w:uiPriority w:val="99"/>
    <w:rsid w:val="00157533"/>
    <w:rPr>
      <w:rFonts w:ascii="Tahoma" w:hAnsi="Tahoma"/>
    </w:r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rFonts w:ascii="Tahoma" w:hAnsi="Tahoma"/>
      <w:sz w:val="20"/>
      <w:szCs w:val="20"/>
    </w:rPr>
  </w:style>
  <w:style w:type="character" w:styleId="Refdecomentario">
    <w:name w:val="annotation reference"/>
    <w:basedOn w:val="Fuentedeprrafopredeter"/>
    <w:uiPriority w:val="99"/>
    <w:semiHidden/>
    <w:unhideWhenUsed/>
    <w:rPr>
      <w:sz w:val="16"/>
      <w:szCs w:val="16"/>
    </w:rPr>
  </w:style>
  <w:style w:type="paragraph" w:styleId="Descripcin">
    <w:name w:val="caption"/>
    <w:basedOn w:val="Normal"/>
    <w:next w:val="Normal"/>
    <w:uiPriority w:val="35"/>
    <w:unhideWhenUsed/>
    <w:qFormat/>
    <w:rsid w:val="005601EE"/>
    <w:pPr>
      <w:spacing w:after="200"/>
    </w:pPr>
    <w:rPr>
      <w:i/>
      <w:iCs/>
      <w:color w:val="44546A" w:themeColor="text2"/>
      <w:sz w:val="18"/>
      <w:szCs w:val="18"/>
    </w:rPr>
  </w:style>
  <w:style w:type="paragraph" w:styleId="Tabladeilustraciones">
    <w:name w:val="table of figures"/>
    <w:basedOn w:val="Normal"/>
    <w:next w:val="Normal"/>
    <w:uiPriority w:val="99"/>
    <w:unhideWhenUsed/>
    <w:rsid w:val="00747722"/>
  </w:style>
  <w:style w:type="character" w:styleId="Hipervnculo">
    <w:name w:val="Hyperlink"/>
    <w:basedOn w:val="Fuentedeprrafopredeter"/>
    <w:uiPriority w:val="99"/>
    <w:unhideWhenUsed/>
    <w:rsid w:val="00747722"/>
    <w:rPr>
      <w:color w:val="0563C1" w:themeColor="hyperlink"/>
      <w:u w:val="single"/>
    </w:rPr>
  </w:style>
  <w:style w:type="paragraph" w:styleId="Revisin">
    <w:name w:val="Revision"/>
    <w:hidden/>
    <w:uiPriority w:val="99"/>
    <w:semiHidden/>
    <w:rsid w:val="00C532E8"/>
    <w:rPr>
      <w:rFonts w:ascii="Tahoma" w:hAnsi="Tahom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1541788">
      <w:bodyDiv w:val="1"/>
      <w:marLeft w:val="0"/>
      <w:marRight w:val="0"/>
      <w:marTop w:val="0"/>
      <w:marBottom w:val="0"/>
      <w:divBdr>
        <w:top w:val="none" w:sz="0" w:space="0" w:color="auto"/>
        <w:left w:val="none" w:sz="0" w:space="0" w:color="auto"/>
        <w:bottom w:val="none" w:sz="0" w:space="0" w:color="auto"/>
        <w:right w:val="none" w:sz="0" w:space="0" w:color="auto"/>
      </w:divBdr>
    </w:div>
    <w:div w:id="414087063">
      <w:bodyDiv w:val="1"/>
      <w:marLeft w:val="0"/>
      <w:marRight w:val="0"/>
      <w:marTop w:val="0"/>
      <w:marBottom w:val="0"/>
      <w:divBdr>
        <w:top w:val="none" w:sz="0" w:space="0" w:color="auto"/>
        <w:left w:val="none" w:sz="0" w:space="0" w:color="auto"/>
        <w:bottom w:val="none" w:sz="0" w:space="0" w:color="auto"/>
        <w:right w:val="none" w:sz="0" w:space="0" w:color="auto"/>
      </w:divBdr>
      <w:divsChild>
        <w:div w:id="1810318878">
          <w:marLeft w:val="0"/>
          <w:marRight w:val="0"/>
          <w:marTop w:val="0"/>
          <w:marBottom w:val="0"/>
          <w:divBdr>
            <w:top w:val="none" w:sz="0" w:space="0" w:color="auto"/>
            <w:left w:val="none" w:sz="0" w:space="0" w:color="auto"/>
            <w:bottom w:val="none" w:sz="0" w:space="0" w:color="auto"/>
            <w:right w:val="none" w:sz="0" w:space="0" w:color="auto"/>
          </w:divBdr>
        </w:div>
      </w:divsChild>
    </w:div>
    <w:div w:id="416951175">
      <w:bodyDiv w:val="1"/>
      <w:marLeft w:val="0"/>
      <w:marRight w:val="0"/>
      <w:marTop w:val="0"/>
      <w:marBottom w:val="0"/>
      <w:divBdr>
        <w:top w:val="none" w:sz="0" w:space="0" w:color="auto"/>
        <w:left w:val="none" w:sz="0" w:space="0" w:color="auto"/>
        <w:bottom w:val="none" w:sz="0" w:space="0" w:color="auto"/>
        <w:right w:val="none" w:sz="0" w:space="0" w:color="auto"/>
      </w:divBdr>
      <w:divsChild>
        <w:div w:id="318726605">
          <w:marLeft w:val="0"/>
          <w:marRight w:val="0"/>
          <w:marTop w:val="0"/>
          <w:marBottom w:val="0"/>
          <w:divBdr>
            <w:top w:val="none" w:sz="0" w:space="0" w:color="auto"/>
            <w:left w:val="none" w:sz="0" w:space="0" w:color="auto"/>
            <w:bottom w:val="none" w:sz="0" w:space="0" w:color="auto"/>
            <w:right w:val="none" w:sz="0" w:space="0" w:color="auto"/>
          </w:divBdr>
        </w:div>
      </w:divsChild>
    </w:div>
    <w:div w:id="452987846">
      <w:bodyDiv w:val="1"/>
      <w:marLeft w:val="0"/>
      <w:marRight w:val="0"/>
      <w:marTop w:val="0"/>
      <w:marBottom w:val="0"/>
      <w:divBdr>
        <w:top w:val="none" w:sz="0" w:space="0" w:color="auto"/>
        <w:left w:val="none" w:sz="0" w:space="0" w:color="auto"/>
        <w:bottom w:val="none" w:sz="0" w:space="0" w:color="auto"/>
        <w:right w:val="none" w:sz="0" w:space="0" w:color="auto"/>
      </w:divBdr>
      <w:divsChild>
        <w:div w:id="1429883526">
          <w:marLeft w:val="0"/>
          <w:marRight w:val="0"/>
          <w:marTop w:val="0"/>
          <w:marBottom w:val="0"/>
          <w:divBdr>
            <w:top w:val="none" w:sz="0" w:space="0" w:color="auto"/>
            <w:left w:val="none" w:sz="0" w:space="0" w:color="auto"/>
            <w:bottom w:val="none" w:sz="0" w:space="0" w:color="auto"/>
            <w:right w:val="none" w:sz="0" w:space="0" w:color="auto"/>
          </w:divBdr>
        </w:div>
      </w:divsChild>
    </w:div>
    <w:div w:id="513811307">
      <w:bodyDiv w:val="1"/>
      <w:marLeft w:val="0"/>
      <w:marRight w:val="0"/>
      <w:marTop w:val="0"/>
      <w:marBottom w:val="0"/>
      <w:divBdr>
        <w:top w:val="none" w:sz="0" w:space="0" w:color="auto"/>
        <w:left w:val="none" w:sz="0" w:space="0" w:color="auto"/>
        <w:bottom w:val="none" w:sz="0" w:space="0" w:color="auto"/>
        <w:right w:val="none" w:sz="0" w:space="0" w:color="auto"/>
      </w:divBdr>
      <w:divsChild>
        <w:div w:id="1429617632">
          <w:marLeft w:val="0"/>
          <w:marRight w:val="0"/>
          <w:marTop w:val="0"/>
          <w:marBottom w:val="0"/>
          <w:divBdr>
            <w:top w:val="none" w:sz="0" w:space="0" w:color="auto"/>
            <w:left w:val="none" w:sz="0" w:space="0" w:color="auto"/>
            <w:bottom w:val="none" w:sz="0" w:space="0" w:color="auto"/>
            <w:right w:val="none" w:sz="0" w:space="0" w:color="auto"/>
          </w:divBdr>
        </w:div>
      </w:divsChild>
    </w:div>
    <w:div w:id="587425701">
      <w:bodyDiv w:val="1"/>
      <w:marLeft w:val="0"/>
      <w:marRight w:val="0"/>
      <w:marTop w:val="0"/>
      <w:marBottom w:val="0"/>
      <w:divBdr>
        <w:top w:val="none" w:sz="0" w:space="0" w:color="auto"/>
        <w:left w:val="none" w:sz="0" w:space="0" w:color="auto"/>
        <w:bottom w:val="none" w:sz="0" w:space="0" w:color="auto"/>
        <w:right w:val="none" w:sz="0" w:space="0" w:color="auto"/>
      </w:divBdr>
      <w:divsChild>
        <w:div w:id="1951817962">
          <w:marLeft w:val="0"/>
          <w:marRight w:val="0"/>
          <w:marTop w:val="0"/>
          <w:marBottom w:val="0"/>
          <w:divBdr>
            <w:top w:val="none" w:sz="0" w:space="0" w:color="auto"/>
            <w:left w:val="none" w:sz="0" w:space="0" w:color="auto"/>
            <w:bottom w:val="none" w:sz="0" w:space="0" w:color="auto"/>
            <w:right w:val="none" w:sz="0" w:space="0" w:color="auto"/>
          </w:divBdr>
        </w:div>
      </w:divsChild>
    </w:div>
    <w:div w:id="972708875">
      <w:bodyDiv w:val="1"/>
      <w:marLeft w:val="0"/>
      <w:marRight w:val="0"/>
      <w:marTop w:val="0"/>
      <w:marBottom w:val="0"/>
      <w:divBdr>
        <w:top w:val="none" w:sz="0" w:space="0" w:color="auto"/>
        <w:left w:val="none" w:sz="0" w:space="0" w:color="auto"/>
        <w:bottom w:val="none" w:sz="0" w:space="0" w:color="auto"/>
        <w:right w:val="none" w:sz="0" w:space="0" w:color="auto"/>
      </w:divBdr>
      <w:divsChild>
        <w:div w:id="1831363349">
          <w:marLeft w:val="0"/>
          <w:marRight w:val="0"/>
          <w:marTop w:val="0"/>
          <w:marBottom w:val="0"/>
          <w:divBdr>
            <w:top w:val="none" w:sz="0" w:space="0" w:color="auto"/>
            <w:left w:val="none" w:sz="0" w:space="0" w:color="auto"/>
            <w:bottom w:val="none" w:sz="0" w:space="0" w:color="auto"/>
            <w:right w:val="none" w:sz="0" w:space="0" w:color="auto"/>
          </w:divBdr>
        </w:div>
      </w:divsChild>
    </w:div>
    <w:div w:id="1365903927">
      <w:bodyDiv w:val="1"/>
      <w:marLeft w:val="0"/>
      <w:marRight w:val="0"/>
      <w:marTop w:val="0"/>
      <w:marBottom w:val="0"/>
      <w:divBdr>
        <w:top w:val="none" w:sz="0" w:space="0" w:color="auto"/>
        <w:left w:val="none" w:sz="0" w:space="0" w:color="auto"/>
        <w:bottom w:val="none" w:sz="0" w:space="0" w:color="auto"/>
        <w:right w:val="none" w:sz="0" w:space="0" w:color="auto"/>
      </w:divBdr>
      <w:divsChild>
        <w:div w:id="1168710627">
          <w:marLeft w:val="0"/>
          <w:marRight w:val="0"/>
          <w:marTop w:val="0"/>
          <w:marBottom w:val="0"/>
          <w:divBdr>
            <w:top w:val="none" w:sz="0" w:space="0" w:color="auto"/>
            <w:left w:val="none" w:sz="0" w:space="0" w:color="auto"/>
            <w:bottom w:val="none" w:sz="0" w:space="0" w:color="auto"/>
            <w:right w:val="none" w:sz="0" w:space="0" w:color="auto"/>
          </w:divBdr>
        </w:div>
      </w:divsChild>
    </w:div>
    <w:div w:id="1388726968">
      <w:bodyDiv w:val="1"/>
      <w:marLeft w:val="0"/>
      <w:marRight w:val="0"/>
      <w:marTop w:val="0"/>
      <w:marBottom w:val="0"/>
      <w:divBdr>
        <w:top w:val="none" w:sz="0" w:space="0" w:color="auto"/>
        <w:left w:val="none" w:sz="0" w:space="0" w:color="auto"/>
        <w:bottom w:val="none" w:sz="0" w:space="0" w:color="auto"/>
        <w:right w:val="none" w:sz="0" w:space="0" w:color="auto"/>
      </w:divBdr>
      <w:divsChild>
        <w:div w:id="1159074519">
          <w:marLeft w:val="0"/>
          <w:marRight w:val="0"/>
          <w:marTop w:val="0"/>
          <w:marBottom w:val="0"/>
          <w:divBdr>
            <w:top w:val="none" w:sz="0" w:space="0" w:color="auto"/>
            <w:left w:val="none" w:sz="0" w:space="0" w:color="auto"/>
            <w:bottom w:val="none" w:sz="0" w:space="0" w:color="auto"/>
            <w:right w:val="none" w:sz="0" w:space="0" w:color="auto"/>
          </w:divBdr>
          <w:divsChild>
            <w:div w:id="584650166">
              <w:marLeft w:val="0"/>
              <w:marRight w:val="0"/>
              <w:marTop w:val="0"/>
              <w:marBottom w:val="0"/>
              <w:divBdr>
                <w:top w:val="none" w:sz="0" w:space="0" w:color="auto"/>
                <w:left w:val="none" w:sz="0" w:space="0" w:color="auto"/>
                <w:bottom w:val="none" w:sz="0" w:space="0" w:color="auto"/>
                <w:right w:val="none" w:sz="0" w:space="0" w:color="auto"/>
              </w:divBdr>
            </w:div>
            <w:div w:id="202062005">
              <w:marLeft w:val="0"/>
              <w:marRight w:val="0"/>
              <w:marTop w:val="0"/>
              <w:marBottom w:val="0"/>
              <w:divBdr>
                <w:top w:val="none" w:sz="0" w:space="0" w:color="auto"/>
                <w:left w:val="none" w:sz="0" w:space="0" w:color="auto"/>
                <w:bottom w:val="none" w:sz="0" w:space="0" w:color="auto"/>
                <w:right w:val="none" w:sz="0" w:space="0" w:color="auto"/>
              </w:divBdr>
            </w:div>
            <w:div w:id="519780308">
              <w:marLeft w:val="0"/>
              <w:marRight w:val="0"/>
              <w:marTop w:val="0"/>
              <w:marBottom w:val="0"/>
              <w:divBdr>
                <w:top w:val="none" w:sz="0" w:space="0" w:color="auto"/>
                <w:left w:val="none" w:sz="0" w:space="0" w:color="auto"/>
                <w:bottom w:val="none" w:sz="0" w:space="0" w:color="auto"/>
                <w:right w:val="none" w:sz="0" w:space="0" w:color="auto"/>
              </w:divBdr>
            </w:div>
            <w:div w:id="1549681138">
              <w:marLeft w:val="0"/>
              <w:marRight w:val="0"/>
              <w:marTop w:val="0"/>
              <w:marBottom w:val="0"/>
              <w:divBdr>
                <w:top w:val="none" w:sz="0" w:space="0" w:color="auto"/>
                <w:left w:val="none" w:sz="0" w:space="0" w:color="auto"/>
                <w:bottom w:val="none" w:sz="0" w:space="0" w:color="auto"/>
                <w:right w:val="none" w:sz="0" w:space="0" w:color="auto"/>
              </w:divBdr>
            </w:div>
            <w:div w:id="223949993">
              <w:marLeft w:val="0"/>
              <w:marRight w:val="0"/>
              <w:marTop w:val="0"/>
              <w:marBottom w:val="0"/>
              <w:divBdr>
                <w:top w:val="none" w:sz="0" w:space="0" w:color="auto"/>
                <w:left w:val="none" w:sz="0" w:space="0" w:color="auto"/>
                <w:bottom w:val="none" w:sz="0" w:space="0" w:color="auto"/>
                <w:right w:val="none" w:sz="0" w:space="0" w:color="auto"/>
              </w:divBdr>
            </w:div>
            <w:div w:id="142502985">
              <w:marLeft w:val="0"/>
              <w:marRight w:val="0"/>
              <w:marTop w:val="0"/>
              <w:marBottom w:val="0"/>
              <w:divBdr>
                <w:top w:val="none" w:sz="0" w:space="0" w:color="auto"/>
                <w:left w:val="none" w:sz="0" w:space="0" w:color="auto"/>
                <w:bottom w:val="none" w:sz="0" w:space="0" w:color="auto"/>
                <w:right w:val="none" w:sz="0" w:space="0" w:color="auto"/>
              </w:divBdr>
            </w:div>
          </w:divsChild>
        </w:div>
        <w:div w:id="199632965">
          <w:marLeft w:val="0"/>
          <w:marRight w:val="0"/>
          <w:marTop w:val="0"/>
          <w:marBottom w:val="0"/>
          <w:divBdr>
            <w:top w:val="none" w:sz="0" w:space="0" w:color="auto"/>
            <w:left w:val="none" w:sz="0" w:space="0" w:color="auto"/>
            <w:bottom w:val="none" w:sz="0" w:space="0" w:color="auto"/>
            <w:right w:val="none" w:sz="0" w:space="0" w:color="auto"/>
          </w:divBdr>
          <w:divsChild>
            <w:div w:id="1492477394">
              <w:marLeft w:val="0"/>
              <w:marRight w:val="0"/>
              <w:marTop w:val="0"/>
              <w:marBottom w:val="0"/>
              <w:divBdr>
                <w:top w:val="none" w:sz="0" w:space="0" w:color="auto"/>
                <w:left w:val="none" w:sz="0" w:space="0" w:color="auto"/>
                <w:bottom w:val="none" w:sz="0" w:space="0" w:color="auto"/>
                <w:right w:val="none" w:sz="0" w:space="0" w:color="auto"/>
              </w:divBdr>
            </w:div>
            <w:div w:id="863904806">
              <w:marLeft w:val="0"/>
              <w:marRight w:val="0"/>
              <w:marTop w:val="0"/>
              <w:marBottom w:val="0"/>
              <w:divBdr>
                <w:top w:val="none" w:sz="0" w:space="0" w:color="auto"/>
                <w:left w:val="none" w:sz="0" w:space="0" w:color="auto"/>
                <w:bottom w:val="none" w:sz="0" w:space="0" w:color="auto"/>
                <w:right w:val="none" w:sz="0" w:space="0" w:color="auto"/>
              </w:divBdr>
            </w:div>
            <w:div w:id="74405479">
              <w:marLeft w:val="0"/>
              <w:marRight w:val="0"/>
              <w:marTop w:val="0"/>
              <w:marBottom w:val="0"/>
              <w:divBdr>
                <w:top w:val="none" w:sz="0" w:space="0" w:color="auto"/>
                <w:left w:val="none" w:sz="0" w:space="0" w:color="auto"/>
                <w:bottom w:val="none" w:sz="0" w:space="0" w:color="auto"/>
                <w:right w:val="none" w:sz="0" w:space="0" w:color="auto"/>
              </w:divBdr>
            </w:div>
            <w:div w:id="1606108376">
              <w:marLeft w:val="0"/>
              <w:marRight w:val="0"/>
              <w:marTop w:val="0"/>
              <w:marBottom w:val="0"/>
              <w:divBdr>
                <w:top w:val="none" w:sz="0" w:space="0" w:color="auto"/>
                <w:left w:val="none" w:sz="0" w:space="0" w:color="auto"/>
                <w:bottom w:val="none" w:sz="0" w:space="0" w:color="auto"/>
                <w:right w:val="none" w:sz="0" w:space="0" w:color="auto"/>
              </w:divBdr>
            </w:div>
            <w:div w:id="1058043668">
              <w:marLeft w:val="0"/>
              <w:marRight w:val="0"/>
              <w:marTop w:val="0"/>
              <w:marBottom w:val="0"/>
              <w:divBdr>
                <w:top w:val="none" w:sz="0" w:space="0" w:color="auto"/>
                <w:left w:val="none" w:sz="0" w:space="0" w:color="auto"/>
                <w:bottom w:val="none" w:sz="0" w:space="0" w:color="auto"/>
                <w:right w:val="none" w:sz="0" w:space="0" w:color="auto"/>
              </w:divBdr>
            </w:div>
            <w:div w:id="1867869920">
              <w:marLeft w:val="0"/>
              <w:marRight w:val="0"/>
              <w:marTop w:val="0"/>
              <w:marBottom w:val="0"/>
              <w:divBdr>
                <w:top w:val="none" w:sz="0" w:space="0" w:color="auto"/>
                <w:left w:val="none" w:sz="0" w:space="0" w:color="auto"/>
                <w:bottom w:val="none" w:sz="0" w:space="0" w:color="auto"/>
                <w:right w:val="none" w:sz="0" w:space="0" w:color="auto"/>
              </w:divBdr>
            </w:div>
            <w:div w:id="932859483">
              <w:marLeft w:val="0"/>
              <w:marRight w:val="0"/>
              <w:marTop w:val="0"/>
              <w:marBottom w:val="0"/>
              <w:divBdr>
                <w:top w:val="none" w:sz="0" w:space="0" w:color="auto"/>
                <w:left w:val="none" w:sz="0" w:space="0" w:color="auto"/>
                <w:bottom w:val="none" w:sz="0" w:space="0" w:color="auto"/>
                <w:right w:val="none" w:sz="0" w:space="0" w:color="auto"/>
              </w:divBdr>
            </w:div>
            <w:div w:id="387076278">
              <w:marLeft w:val="0"/>
              <w:marRight w:val="0"/>
              <w:marTop w:val="0"/>
              <w:marBottom w:val="0"/>
              <w:divBdr>
                <w:top w:val="none" w:sz="0" w:space="0" w:color="auto"/>
                <w:left w:val="none" w:sz="0" w:space="0" w:color="auto"/>
                <w:bottom w:val="none" w:sz="0" w:space="0" w:color="auto"/>
                <w:right w:val="none" w:sz="0" w:space="0" w:color="auto"/>
              </w:divBdr>
            </w:div>
            <w:div w:id="1883637101">
              <w:marLeft w:val="0"/>
              <w:marRight w:val="0"/>
              <w:marTop w:val="0"/>
              <w:marBottom w:val="0"/>
              <w:divBdr>
                <w:top w:val="none" w:sz="0" w:space="0" w:color="auto"/>
                <w:left w:val="none" w:sz="0" w:space="0" w:color="auto"/>
                <w:bottom w:val="none" w:sz="0" w:space="0" w:color="auto"/>
                <w:right w:val="none" w:sz="0" w:space="0" w:color="auto"/>
              </w:divBdr>
            </w:div>
            <w:div w:id="1011683989">
              <w:marLeft w:val="0"/>
              <w:marRight w:val="0"/>
              <w:marTop w:val="0"/>
              <w:marBottom w:val="0"/>
              <w:divBdr>
                <w:top w:val="none" w:sz="0" w:space="0" w:color="auto"/>
                <w:left w:val="none" w:sz="0" w:space="0" w:color="auto"/>
                <w:bottom w:val="none" w:sz="0" w:space="0" w:color="auto"/>
                <w:right w:val="none" w:sz="0" w:space="0" w:color="auto"/>
              </w:divBdr>
            </w:div>
            <w:div w:id="1640303667">
              <w:marLeft w:val="0"/>
              <w:marRight w:val="0"/>
              <w:marTop w:val="0"/>
              <w:marBottom w:val="0"/>
              <w:divBdr>
                <w:top w:val="none" w:sz="0" w:space="0" w:color="auto"/>
                <w:left w:val="none" w:sz="0" w:space="0" w:color="auto"/>
                <w:bottom w:val="none" w:sz="0" w:space="0" w:color="auto"/>
                <w:right w:val="none" w:sz="0" w:space="0" w:color="auto"/>
              </w:divBdr>
            </w:div>
            <w:div w:id="135757016">
              <w:marLeft w:val="0"/>
              <w:marRight w:val="0"/>
              <w:marTop w:val="0"/>
              <w:marBottom w:val="0"/>
              <w:divBdr>
                <w:top w:val="none" w:sz="0" w:space="0" w:color="auto"/>
                <w:left w:val="none" w:sz="0" w:space="0" w:color="auto"/>
                <w:bottom w:val="none" w:sz="0" w:space="0" w:color="auto"/>
                <w:right w:val="none" w:sz="0" w:space="0" w:color="auto"/>
              </w:divBdr>
            </w:div>
            <w:div w:id="685520612">
              <w:marLeft w:val="0"/>
              <w:marRight w:val="0"/>
              <w:marTop w:val="0"/>
              <w:marBottom w:val="0"/>
              <w:divBdr>
                <w:top w:val="none" w:sz="0" w:space="0" w:color="auto"/>
                <w:left w:val="none" w:sz="0" w:space="0" w:color="auto"/>
                <w:bottom w:val="none" w:sz="0" w:space="0" w:color="auto"/>
                <w:right w:val="none" w:sz="0" w:space="0" w:color="auto"/>
              </w:divBdr>
            </w:div>
            <w:div w:id="1612736261">
              <w:marLeft w:val="0"/>
              <w:marRight w:val="0"/>
              <w:marTop w:val="0"/>
              <w:marBottom w:val="0"/>
              <w:divBdr>
                <w:top w:val="none" w:sz="0" w:space="0" w:color="auto"/>
                <w:left w:val="none" w:sz="0" w:space="0" w:color="auto"/>
                <w:bottom w:val="none" w:sz="0" w:space="0" w:color="auto"/>
                <w:right w:val="none" w:sz="0" w:space="0" w:color="auto"/>
              </w:divBdr>
            </w:div>
            <w:div w:id="1309944304">
              <w:marLeft w:val="0"/>
              <w:marRight w:val="0"/>
              <w:marTop w:val="0"/>
              <w:marBottom w:val="0"/>
              <w:divBdr>
                <w:top w:val="none" w:sz="0" w:space="0" w:color="auto"/>
                <w:left w:val="none" w:sz="0" w:space="0" w:color="auto"/>
                <w:bottom w:val="none" w:sz="0" w:space="0" w:color="auto"/>
                <w:right w:val="none" w:sz="0" w:space="0" w:color="auto"/>
              </w:divBdr>
            </w:div>
            <w:div w:id="2066875091">
              <w:marLeft w:val="0"/>
              <w:marRight w:val="0"/>
              <w:marTop w:val="0"/>
              <w:marBottom w:val="0"/>
              <w:divBdr>
                <w:top w:val="none" w:sz="0" w:space="0" w:color="auto"/>
                <w:left w:val="none" w:sz="0" w:space="0" w:color="auto"/>
                <w:bottom w:val="none" w:sz="0" w:space="0" w:color="auto"/>
                <w:right w:val="none" w:sz="0" w:space="0" w:color="auto"/>
              </w:divBdr>
            </w:div>
            <w:div w:id="1566447689">
              <w:marLeft w:val="0"/>
              <w:marRight w:val="0"/>
              <w:marTop w:val="0"/>
              <w:marBottom w:val="0"/>
              <w:divBdr>
                <w:top w:val="none" w:sz="0" w:space="0" w:color="auto"/>
                <w:left w:val="none" w:sz="0" w:space="0" w:color="auto"/>
                <w:bottom w:val="none" w:sz="0" w:space="0" w:color="auto"/>
                <w:right w:val="none" w:sz="0" w:space="0" w:color="auto"/>
              </w:divBdr>
            </w:div>
            <w:div w:id="1713849852">
              <w:marLeft w:val="0"/>
              <w:marRight w:val="0"/>
              <w:marTop w:val="0"/>
              <w:marBottom w:val="0"/>
              <w:divBdr>
                <w:top w:val="none" w:sz="0" w:space="0" w:color="auto"/>
                <w:left w:val="none" w:sz="0" w:space="0" w:color="auto"/>
                <w:bottom w:val="none" w:sz="0" w:space="0" w:color="auto"/>
                <w:right w:val="none" w:sz="0" w:space="0" w:color="auto"/>
              </w:divBdr>
            </w:div>
            <w:div w:id="2050643987">
              <w:marLeft w:val="0"/>
              <w:marRight w:val="0"/>
              <w:marTop w:val="0"/>
              <w:marBottom w:val="0"/>
              <w:divBdr>
                <w:top w:val="none" w:sz="0" w:space="0" w:color="auto"/>
                <w:left w:val="none" w:sz="0" w:space="0" w:color="auto"/>
                <w:bottom w:val="none" w:sz="0" w:space="0" w:color="auto"/>
                <w:right w:val="none" w:sz="0" w:space="0" w:color="auto"/>
              </w:divBdr>
            </w:div>
            <w:div w:id="1744450881">
              <w:marLeft w:val="0"/>
              <w:marRight w:val="0"/>
              <w:marTop w:val="0"/>
              <w:marBottom w:val="0"/>
              <w:divBdr>
                <w:top w:val="none" w:sz="0" w:space="0" w:color="auto"/>
                <w:left w:val="none" w:sz="0" w:space="0" w:color="auto"/>
                <w:bottom w:val="none" w:sz="0" w:space="0" w:color="auto"/>
                <w:right w:val="none" w:sz="0" w:space="0" w:color="auto"/>
              </w:divBdr>
            </w:div>
          </w:divsChild>
        </w:div>
        <w:div w:id="1292396968">
          <w:marLeft w:val="0"/>
          <w:marRight w:val="0"/>
          <w:marTop w:val="0"/>
          <w:marBottom w:val="0"/>
          <w:divBdr>
            <w:top w:val="none" w:sz="0" w:space="0" w:color="auto"/>
            <w:left w:val="none" w:sz="0" w:space="0" w:color="auto"/>
            <w:bottom w:val="none" w:sz="0" w:space="0" w:color="auto"/>
            <w:right w:val="none" w:sz="0" w:space="0" w:color="auto"/>
          </w:divBdr>
          <w:divsChild>
            <w:div w:id="1727413032">
              <w:marLeft w:val="0"/>
              <w:marRight w:val="0"/>
              <w:marTop w:val="0"/>
              <w:marBottom w:val="0"/>
              <w:divBdr>
                <w:top w:val="none" w:sz="0" w:space="0" w:color="auto"/>
                <w:left w:val="none" w:sz="0" w:space="0" w:color="auto"/>
                <w:bottom w:val="none" w:sz="0" w:space="0" w:color="auto"/>
                <w:right w:val="none" w:sz="0" w:space="0" w:color="auto"/>
              </w:divBdr>
            </w:div>
            <w:div w:id="1327898157">
              <w:marLeft w:val="0"/>
              <w:marRight w:val="0"/>
              <w:marTop w:val="0"/>
              <w:marBottom w:val="0"/>
              <w:divBdr>
                <w:top w:val="none" w:sz="0" w:space="0" w:color="auto"/>
                <w:left w:val="none" w:sz="0" w:space="0" w:color="auto"/>
                <w:bottom w:val="none" w:sz="0" w:space="0" w:color="auto"/>
                <w:right w:val="none" w:sz="0" w:space="0" w:color="auto"/>
              </w:divBdr>
            </w:div>
            <w:div w:id="609969765">
              <w:marLeft w:val="0"/>
              <w:marRight w:val="0"/>
              <w:marTop w:val="0"/>
              <w:marBottom w:val="0"/>
              <w:divBdr>
                <w:top w:val="none" w:sz="0" w:space="0" w:color="auto"/>
                <w:left w:val="none" w:sz="0" w:space="0" w:color="auto"/>
                <w:bottom w:val="none" w:sz="0" w:space="0" w:color="auto"/>
                <w:right w:val="none" w:sz="0" w:space="0" w:color="auto"/>
              </w:divBdr>
            </w:div>
            <w:div w:id="443892195">
              <w:marLeft w:val="0"/>
              <w:marRight w:val="0"/>
              <w:marTop w:val="0"/>
              <w:marBottom w:val="0"/>
              <w:divBdr>
                <w:top w:val="none" w:sz="0" w:space="0" w:color="auto"/>
                <w:left w:val="none" w:sz="0" w:space="0" w:color="auto"/>
                <w:bottom w:val="none" w:sz="0" w:space="0" w:color="auto"/>
                <w:right w:val="none" w:sz="0" w:space="0" w:color="auto"/>
              </w:divBdr>
            </w:div>
            <w:div w:id="299501960">
              <w:marLeft w:val="0"/>
              <w:marRight w:val="0"/>
              <w:marTop w:val="0"/>
              <w:marBottom w:val="0"/>
              <w:divBdr>
                <w:top w:val="none" w:sz="0" w:space="0" w:color="auto"/>
                <w:left w:val="none" w:sz="0" w:space="0" w:color="auto"/>
                <w:bottom w:val="none" w:sz="0" w:space="0" w:color="auto"/>
                <w:right w:val="none" w:sz="0" w:space="0" w:color="auto"/>
              </w:divBdr>
            </w:div>
            <w:div w:id="1056978054">
              <w:marLeft w:val="0"/>
              <w:marRight w:val="0"/>
              <w:marTop w:val="0"/>
              <w:marBottom w:val="0"/>
              <w:divBdr>
                <w:top w:val="none" w:sz="0" w:space="0" w:color="auto"/>
                <w:left w:val="none" w:sz="0" w:space="0" w:color="auto"/>
                <w:bottom w:val="none" w:sz="0" w:space="0" w:color="auto"/>
                <w:right w:val="none" w:sz="0" w:space="0" w:color="auto"/>
              </w:divBdr>
            </w:div>
            <w:div w:id="291180577">
              <w:marLeft w:val="0"/>
              <w:marRight w:val="0"/>
              <w:marTop w:val="0"/>
              <w:marBottom w:val="0"/>
              <w:divBdr>
                <w:top w:val="none" w:sz="0" w:space="0" w:color="auto"/>
                <w:left w:val="none" w:sz="0" w:space="0" w:color="auto"/>
                <w:bottom w:val="none" w:sz="0" w:space="0" w:color="auto"/>
                <w:right w:val="none" w:sz="0" w:space="0" w:color="auto"/>
              </w:divBdr>
            </w:div>
            <w:div w:id="1063792190">
              <w:marLeft w:val="0"/>
              <w:marRight w:val="0"/>
              <w:marTop w:val="0"/>
              <w:marBottom w:val="0"/>
              <w:divBdr>
                <w:top w:val="none" w:sz="0" w:space="0" w:color="auto"/>
                <w:left w:val="none" w:sz="0" w:space="0" w:color="auto"/>
                <w:bottom w:val="none" w:sz="0" w:space="0" w:color="auto"/>
                <w:right w:val="none" w:sz="0" w:space="0" w:color="auto"/>
              </w:divBdr>
            </w:div>
            <w:div w:id="2066292583">
              <w:marLeft w:val="0"/>
              <w:marRight w:val="0"/>
              <w:marTop w:val="0"/>
              <w:marBottom w:val="0"/>
              <w:divBdr>
                <w:top w:val="none" w:sz="0" w:space="0" w:color="auto"/>
                <w:left w:val="none" w:sz="0" w:space="0" w:color="auto"/>
                <w:bottom w:val="none" w:sz="0" w:space="0" w:color="auto"/>
                <w:right w:val="none" w:sz="0" w:space="0" w:color="auto"/>
              </w:divBdr>
            </w:div>
            <w:div w:id="466240001">
              <w:marLeft w:val="0"/>
              <w:marRight w:val="0"/>
              <w:marTop w:val="0"/>
              <w:marBottom w:val="0"/>
              <w:divBdr>
                <w:top w:val="none" w:sz="0" w:space="0" w:color="auto"/>
                <w:left w:val="none" w:sz="0" w:space="0" w:color="auto"/>
                <w:bottom w:val="none" w:sz="0" w:space="0" w:color="auto"/>
                <w:right w:val="none" w:sz="0" w:space="0" w:color="auto"/>
              </w:divBdr>
            </w:div>
            <w:div w:id="301663766">
              <w:marLeft w:val="0"/>
              <w:marRight w:val="0"/>
              <w:marTop w:val="0"/>
              <w:marBottom w:val="0"/>
              <w:divBdr>
                <w:top w:val="none" w:sz="0" w:space="0" w:color="auto"/>
                <w:left w:val="none" w:sz="0" w:space="0" w:color="auto"/>
                <w:bottom w:val="none" w:sz="0" w:space="0" w:color="auto"/>
                <w:right w:val="none" w:sz="0" w:space="0" w:color="auto"/>
              </w:divBdr>
            </w:div>
            <w:div w:id="2030372026">
              <w:marLeft w:val="0"/>
              <w:marRight w:val="0"/>
              <w:marTop w:val="0"/>
              <w:marBottom w:val="0"/>
              <w:divBdr>
                <w:top w:val="none" w:sz="0" w:space="0" w:color="auto"/>
                <w:left w:val="none" w:sz="0" w:space="0" w:color="auto"/>
                <w:bottom w:val="none" w:sz="0" w:space="0" w:color="auto"/>
                <w:right w:val="none" w:sz="0" w:space="0" w:color="auto"/>
              </w:divBdr>
            </w:div>
            <w:div w:id="1142506865">
              <w:marLeft w:val="0"/>
              <w:marRight w:val="0"/>
              <w:marTop w:val="0"/>
              <w:marBottom w:val="0"/>
              <w:divBdr>
                <w:top w:val="none" w:sz="0" w:space="0" w:color="auto"/>
                <w:left w:val="none" w:sz="0" w:space="0" w:color="auto"/>
                <w:bottom w:val="none" w:sz="0" w:space="0" w:color="auto"/>
                <w:right w:val="none" w:sz="0" w:space="0" w:color="auto"/>
              </w:divBdr>
            </w:div>
            <w:div w:id="1728265270">
              <w:marLeft w:val="0"/>
              <w:marRight w:val="0"/>
              <w:marTop w:val="0"/>
              <w:marBottom w:val="0"/>
              <w:divBdr>
                <w:top w:val="none" w:sz="0" w:space="0" w:color="auto"/>
                <w:left w:val="none" w:sz="0" w:space="0" w:color="auto"/>
                <w:bottom w:val="none" w:sz="0" w:space="0" w:color="auto"/>
                <w:right w:val="none" w:sz="0" w:space="0" w:color="auto"/>
              </w:divBdr>
            </w:div>
            <w:div w:id="1866939310">
              <w:marLeft w:val="0"/>
              <w:marRight w:val="0"/>
              <w:marTop w:val="0"/>
              <w:marBottom w:val="0"/>
              <w:divBdr>
                <w:top w:val="none" w:sz="0" w:space="0" w:color="auto"/>
                <w:left w:val="none" w:sz="0" w:space="0" w:color="auto"/>
                <w:bottom w:val="none" w:sz="0" w:space="0" w:color="auto"/>
                <w:right w:val="none" w:sz="0" w:space="0" w:color="auto"/>
              </w:divBdr>
            </w:div>
            <w:div w:id="749733304">
              <w:marLeft w:val="0"/>
              <w:marRight w:val="0"/>
              <w:marTop w:val="0"/>
              <w:marBottom w:val="0"/>
              <w:divBdr>
                <w:top w:val="none" w:sz="0" w:space="0" w:color="auto"/>
                <w:left w:val="none" w:sz="0" w:space="0" w:color="auto"/>
                <w:bottom w:val="none" w:sz="0" w:space="0" w:color="auto"/>
                <w:right w:val="none" w:sz="0" w:space="0" w:color="auto"/>
              </w:divBdr>
            </w:div>
            <w:div w:id="2125419748">
              <w:marLeft w:val="0"/>
              <w:marRight w:val="0"/>
              <w:marTop w:val="0"/>
              <w:marBottom w:val="0"/>
              <w:divBdr>
                <w:top w:val="none" w:sz="0" w:space="0" w:color="auto"/>
                <w:left w:val="none" w:sz="0" w:space="0" w:color="auto"/>
                <w:bottom w:val="none" w:sz="0" w:space="0" w:color="auto"/>
                <w:right w:val="none" w:sz="0" w:space="0" w:color="auto"/>
              </w:divBdr>
            </w:div>
            <w:div w:id="1204174226">
              <w:marLeft w:val="0"/>
              <w:marRight w:val="0"/>
              <w:marTop w:val="0"/>
              <w:marBottom w:val="0"/>
              <w:divBdr>
                <w:top w:val="none" w:sz="0" w:space="0" w:color="auto"/>
                <w:left w:val="none" w:sz="0" w:space="0" w:color="auto"/>
                <w:bottom w:val="none" w:sz="0" w:space="0" w:color="auto"/>
                <w:right w:val="none" w:sz="0" w:space="0" w:color="auto"/>
              </w:divBdr>
            </w:div>
            <w:div w:id="1395663150">
              <w:marLeft w:val="0"/>
              <w:marRight w:val="0"/>
              <w:marTop w:val="0"/>
              <w:marBottom w:val="0"/>
              <w:divBdr>
                <w:top w:val="none" w:sz="0" w:space="0" w:color="auto"/>
                <w:left w:val="none" w:sz="0" w:space="0" w:color="auto"/>
                <w:bottom w:val="none" w:sz="0" w:space="0" w:color="auto"/>
                <w:right w:val="none" w:sz="0" w:space="0" w:color="auto"/>
              </w:divBdr>
            </w:div>
            <w:div w:id="2051688275">
              <w:marLeft w:val="0"/>
              <w:marRight w:val="0"/>
              <w:marTop w:val="0"/>
              <w:marBottom w:val="0"/>
              <w:divBdr>
                <w:top w:val="none" w:sz="0" w:space="0" w:color="auto"/>
                <w:left w:val="none" w:sz="0" w:space="0" w:color="auto"/>
                <w:bottom w:val="none" w:sz="0" w:space="0" w:color="auto"/>
                <w:right w:val="none" w:sz="0" w:space="0" w:color="auto"/>
              </w:divBdr>
            </w:div>
          </w:divsChild>
        </w:div>
        <w:div w:id="1790589217">
          <w:marLeft w:val="0"/>
          <w:marRight w:val="0"/>
          <w:marTop w:val="0"/>
          <w:marBottom w:val="0"/>
          <w:divBdr>
            <w:top w:val="none" w:sz="0" w:space="0" w:color="auto"/>
            <w:left w:val="none" w:sz="0" w:space="0" w:color="auto"/>
            <w:bottom w:val="none" w:sz="0" w:space="0" w:color="auto"/>
            <w:right w:val="none" w:sz="0" w:space="0" w:color="auto"/>
          </w:divBdr>
        </w:div>
        <w:div w:id="892814859">
          <w:marLeft w:val="0"/>
          <w:marRight w:val="0"/>
          <w:marTop w:val="0"/>
          <w:marBottom w:val="0"/>
          <w:divBdr>
            <w:top w:val="none" w:sz="0" w:space="0" w:color="auto"/>
            <w:left w:val="none" w:sz="0" w:space="0" w:color="auto"/>
            <w:bottom w:val="none" w:sz="0" w:space="0" w:color="auto"/>
            <w:right w:val="none" w:sz="0" w:space="0" w:color="auto"/>
          </w:divBdr>
        </w:div>
        <w:div w:id="676924561">
          <w:marLeft w:val="0"/>
          <w:marRight w:val="0"/>
          <w:marTop w:val="0"/>
          <w:marBottom w:val="0"/>
          <w:divBdr>
            <w:top w:val="none" w:sz="0" w:space="0" w:color="auto"/>
            <w:left w:val="none" w:sz="0" w:space="0" w:color="auto"/>
            <w:bottom w:val="none" w:sz="0" w:space="0" w:color="auto"/>
            <w:right w:val="none" w:sz="0" w:space="0" w:color="auto"/>
          </w:divBdr>
        </w:div>
        <w:div w:id="1612710644">
          <w:marLeft w:val="0"/>
          <w:marRight w:val="0"/>
          <w:marTop w:val="0"/>
          <w:marBottom w:val="0"/>
          <w:divBdr>
            <w:top w:val="none" w:sz="0" w:space="0" w:color="auto"/>
            <w:left w:val="none" w:sz="0" w:space="0" w:color="auto"/>
            <w:bottom w:val="none" w:sz="0" w:space="0" w:color="auto"/>
            <w:right w:val="none" w:sz="0" w:space="0" w:color="auto"/>
          </w:divBdr>
          <w:divsChild>
            <w:div w:id="1503009306">
              <w:marLeft w:val="-75"/>
              <w:marRight w:val="0"/>
              <w:marTop w:val="30"/>
              <w:marBottom w:val="30"/>
              <w:divBdr>
                <w:top w:val="none" w:sz="0" w:space="0" w:color="auto"/>
                <w:left w:val="none" w:sz="0" w:space="0" w:color="auto"/>
                <w:bottom w:val="none" w:sz="0" w:space="0" w:color="auto"/>
                <w:right w:val="none" w:sz="0" w:space="0" w:color="auto"/>
              </w:divBdr>
              <w:divsChild>
                <w:div w:id="620959197">
                  <w:marLeft w:val="0"/>
                  <w:marRight w:val="0"/>
                  <w:marTop w:val="0"/>
                  <w:marBottom w:val="0"/>
                  <w:divBdr>
                    <w:top w:val="none" w:sz="0" w:space="0" w:color="auto"/>
                    <w:left w:val="none" w:sz="0" w:space="0" w:color="auto"/>
                    <w:bottom w:val="none" w:sz="0" w:space="0" w:color="auto"/>
                    <w:right w:val="none" w:sz="0" w:space="0" w:color="auto"/>
                  </w:divBdr>
                  <w:divsChild>
                    <w:div w:id="404226055">
                      <w:marLeft w:val="0"/>
                      <w:marRight w:val="0"/>
                      <w:marTop w:val="0"/>
                      <w:marBottom w:val="0"/>
                      <w:divBdr>
                        <w:top w:val="none" w:sz="0" w:space="0" w:color="auto"/>
                        <w:left w:val="none" w:sz="0" w:space="0" w:color="auto"/>
                        <w:bottom w:val="none" w:sz="0" w:space="0" w:color="auto"/>
                        <w:right w:val="none" w:sz="0" w:space="0" w:color="auto"/>
                      </w:divBdr>
                    </w:div>
                  </w:divsChild>
                </w:div>
                <w:div w:id="521473547">
                  <w:marLeft w:val="0"/>
                  <w:marRight w:val="0"/>
                  <w:marTop w:val="0"/>
                  <w:marBottom w:val="0"/>
                  <w:divBdr>
                    <w:top w:val="none" w:sz="0" w:space="0" w:color="auto"/>
                    <w:left w:val="none" w:sz="0" w:space="0" w:color="auto"/>
                    <w:bottom w:val="none" w:sz="0" w:space="0" w:color="auto"/>
                    <w:right w:val="none" w:sz="0" w:space="0" w:color="auto"/>
                  </w:divBdr>
                  <w:divsChild>
                    <w:div w:id="1176727907">
                      <w:marLeft w:val="0"/>
                      <w:marRight w:val="0"/>
                      <w:marTop w:val="0"/>
                      <w:marBottom w:val="0"/>
                      <w:divBdr>
                        <w:top w:val="none" w:sz="0" w:space="0" w:color="auto"/>
                        <w:left w:val="none" w:sz="0" w:space="0" w:color="auto"/>
                        <w:bottom w:val="none" w:sz="0" w:space="0" w:color="auto"/>
                        <w:right w:val="none" w:sz="0" w:space="0" w:color="auto"/>
                      </w:divBdr>
                    </w:div>
                  </w:divsChild>
                </w:div>
                <w:div w:id="313411050">
                  <w:marLeft w:val="0"/>
                  <w:marRight w:val="0"/>
                  <w:marTop w:val="0"/>
                  <w:marBottom w:val="0"/>
                  <w:divBdr>
                    <w:top w:val="none" w:sz="0" w:space="0" w:color="auto"/>
                    <w:left w:val="none" w:sz="0" w:space="0" w:color="auto"/>
                    <w:bottom w:val="none" w:sz="0" w:space="0" w:color="auto"/>
                    <w:right w:val="none" w:sz="0" w:space="0" w:color="auto"/>
                  </w:divBdr>
                  <w:divsChild>
                    <w:div w:id="1039860920">
                      <w:marLeft w:val="0"/>
                      <w:marRight w:val="0"/>
                      <w:marTop w:val="0"/>
                      <w:marBottom w:val="0"/>
                      <w:divBdr>
                        <w:top w:val="none" w:sz="0" w:space="0" w:color="auto"/>
                        <w:left w:val="none" w:sz="0" w:space="0" w:color="auto"/>
                        <w:bottom w:val="none" w:sz="0" w:space="0" w:color="auto"/>
                        <w:right w:val="none" w:sz="0" w:space="0" w:color="auto"/>
                      </w:divBdr>
                    </w:div>
                  </w:divsChild>
                </w:div>
                <w:div w:id="1630236282">
                  <w:marLeft w:val="0"/>
                  <w:marRight w:val="0"/>
                  <w:marTop w:val="0"/>
                  <w:marBottom w:val="0"/>
                  <w:divBdr>
                    <w:top w:val="none" w:sz="0" w:space="0" w:color="auto"/>
                    <w:left w:val="none" w:sz="0" w:space="0" w:color="auto"/>
                    <w:bottom w:val="none" w:sz="0" w:space="0" w:color="auto"/>
                    <w:right w:val="none" w:sz="0" w:space="0" w:color="auto"/>
                  </w:divBdr>
                  <w:divsChild>
                    <w:div w:id="1265922155">
                      <w:marLeft w:val="0"/>
                      <w:marRight w:val="0"/>
                      <w:marTop w:val="0"/>
                      <w:marBottom w:val="0"/>
                      <w:divBdr>
                        <w:top w:val="none" w:sz="0" w:space="0" w:color="auto"/>
                        <w:left w:val="none" w:sz="0" w:space="0" w:color="auto"/>
                        <w:bottom w:val="none" w:sz="0" w:space="0" w:color="auto"/>
                        <w:right w:val="none" w:sz="0" w:space="0" w:color="auto"/>
                      </w:divBdr>
                    </w:div>
                  </w:divsChild>
                </w:div>
                <w:div w:id="661548207">
                  <w:marLeft w:val="0"/>
                  <w:marRight w:val="0"/>
                  <w:marTop w:val="0"/>
                  <w:marBottom w:val="0"/>
                  <w:divBdr>
                    <w:top w:val="none" w:sz="0" w:space="0" w:color="auto"/>
                    <w:left w:val="none" w:sz="0" w:space="0" w:color="auto"/>
                    <w:bottom w:val="none" w:sz="0" w:space="0" w:color="auto"/>
                    <w:right w:val="none" w:sz="0" w:space="0" w:color="auto"/>
                  </w:divBdr>
                  <w:divsChild>
                    <w:div w:id="1648585453">
                      <w:marLeft w:val="0"/>
                      <w:marRight w:val="0"/>
                      <w:marTop w:val="0"/>
                      <w:marBottom w:val="0"/>
                      <w:divBdr>
                        <w:top w:val="none" w:sz="0" w:space="0" w:color="auto"/>
                        <w:left w:val="none" w:sz="0" w:space="0" w:color="auto"/>
                        <w:bottom w:val="none" w:sz="0" w:space="0" w:color="auto"/>
                        <w:right w:val="none" w:sz="0" w:space="0" w:color="auto"/>
                      </w:divBdr>
                    </w:div>
                  </w:divsChild>
                </w:div>
                <w:div w:id="1219782642">
                  <w:marLeft w:val="0"/>
                  <w:marRight w:val="0"/>
                  <w:marTop w:val="0"/>
                  <w:marBottom w:val="0"/>
                  <w:divBdr>
                    <w:top w:val="none" w:sz="0" w:space="0" w:color="auto"/>
                    <w:left w:val="none" w:sz="0" w:space="0" w:color="auto"/>
                    <w:bottom w:val="none" w:sz="0" w:space="0" w:color="auto"/>
                    <w:right w:val="none" w:sz="0" w:space="0" w:color="auto"/>
                  </w:divBdr>
                  <w:divsChild>
                    <w:div w:id="225844995">
                      <w:marLeft w:val="0"/>
                      <w:marRight w:val="0"/>
                      <w:marTop w:val="0"/>
                      <w:marBottom w:val="0"/>
                      <w:divBdr>
                        <w:top w:val="none" w:sz="0" w:space="0" w:color="auto"/>
                        <w:left w:val="none" w:sz="0" w:space="0" w:color="auto"/>
                        <w:bottom w:val="none" w:sz="0" w:space="0" w:color="auto"/>
                        <w:right w:val="none" w:sz="0" w:space="0" w:color="auto"/>
                      </w:divBdr>
                    </w:div>
                  </w:divsChild>
                </w:div>
                <w:div w:id="1060248559">
                  <w:marLeft w:val="0"/>
                  <w:marRight w:val="0"/>
                  <w:marTop w:val="0"/>
                  <w:marBottom w:val="0"/>
                  <w:divBdr>
                    <w:top w:val="none" w:sz="0" w:space="0" w:color="auto"/>
                    <w:left w:val="none" w:sz="0" w:space="0" w:color="auto"/>
                    <w:bottom w:val="none" w:sz="0" w:space="0" w:color="auto"/>
                    <w:right w:val="none" w:sz="0" w:space="0" w:color="auto"/>
                  </w:divBdr>
                  <w:divsChild>
                    <w:div w:id="1196187556">
                      <w:marLeft w:val="0"/>
                      <w:marRight w:val="0"/>
                      <w:marTop w:val="0"/>
                      <w:marBottom w:val="0"/>
                      <w:divBdr>
                        <w:top w:val="none" w:sz="0" w:space="0" w:color="auto"/>
                        <w:left w:val="none" w:sz="0" w:space="0" w:color="auto"/>
                        <w:bottom w:val="none" w:sz="0" w:space="0" w:color="auto"/>
                        <w:right w:val="none" w:sz="0" w:space="0" w:color="auto"/>
                      </w:divBdr>
                    </w:div>
                  </w:divsChild>
                </w:div>
                <w:div w:id="468086006">
                  <w:marLeft w:val="0"/>
                  <w:marRight w:val="0"/>
                  <w:marTop w:val="0"/>
                  <w:marBottom w:val="0"/>
                  <w:divBdr>
                    <w:top w:val="none" w:sz="0" w:space="0" w:color="auto"/>
                    <w:left w:val="none" w:sz="0" w:space="0" w:color="auto"/>
                    <w:bottom w:val="none" w:sz="0" w:space="0" w:color="auto"/>
                    <w:right w:val="none" w:sz="0" w:space="0" w:color="auto"/>
                  </w:divBdr>
                  <w:divsChild>
                    <w:div w:id="620310549">
                      <w:marLeft w:val="0"/>
                      <w:marRight w:val="0"/>
                      <w:marTop w:val="0"/>
                      <w:marBottom w:val="0"/>
                      <w:divBdr>
                        <w:top w:val="none" w:sz="0" w:space="0" w:color="auto"/>
                        <w:left w:val="none" w:sz="0" w:space="0" w:color="auto"/>
                        <w:bottom w:val="none" w:sz="0" w:space="0" w:color="auto"/>
                        <w:right w:val="none" w:sz="0" w:space="0" w:color="auto"/>
                      </w:divBdr>
                    </w:div>
                  </w:divsChild>
                </w:div>
                <w:div w:id="207687547">
                  <w:marLeft w:val="0"/>
                  <w:marRight w:val="0"/>
                  <w:marTop w:val="0"/>
                  <w:marBottom w:val="0"/>
                  <w:divBdr>
                    <w:top w:val="none" w:sz="0" w:space="0" w:color="auto"/>
                    <w:left w:val="none" w:sz="0" w:space="0" w:color="auto"/>
                    <w:bottom w:val="none" w:sz="0" w:space="0" w:color="auto"/>
                    <w:right w:val="none" w:sz="0" w:space="0" w:color="auto"/>
                  </w:divBdr>
                  <w:divsChild>
                    <w:div w:id="1215317257">
                      <w:marLeft w:val="0"/>
                      <w:marRight w:val="0"/>
                      <w:marTop w:val="0"/>
                      <w:marBottom w:val="0"/>
                      <w:divBdr>
                        <w:top w:val="none" w:sz="0" w:space="0" w:color="auto"/>
                        <w:left w:val="none" w:sz="0" w:space="0" w:color="auto"/>
                        <w:bottom w:val="none" w:sz="0" w:space="0" w:color="auto"/>
                        <w:right w:val="none" w:sz="0" w:space="0" w:color="auto"/>
                      </w:divBdr>
                    </w:div>
                  </w:divsChild>
                </w:div>
                <w:div w:id="1223560241">
                  <w:marLeft w:val="0"/>
                  <w:marRight w:val="0"/>
                  <w:marTop w:val="0"/>
                  <w:marBottom w:val="0"/>
                  <w:divBdr>
                    <w:top w:val="none" w:sz="0" w:space="0" w:color="auto"/>
                    <w:left w:val="none" w:sz="0" w:space="0" w:color="auto"/>
                    <w:bottom w:val="none" w:sz="0" w:space="0" w:color="auto"/>
                    <w:right w:val="none" w:sz="0" w:space="0" w:color="auto"/>
                  </w:divBdr>
                  <w:divsChild>
                    <w:div w:id="1887256752">
                      <w:marLeft w:val="0"/>
                      <w:marRight w:val="0"/>
                      <w:marTop w:val="0"/>
                      <w:marBottom w:val="0"/>
                      <w:divBdr>
                        <w:top w:val="none" w:sz="0" w:space="0" w:color="auto"/>
                        <w:left w:val="none" w:sz="0" w:space="0" w:color="auto"/>
                        <w:bottom w:val="none" w:sz="0" w:space="0" w:color="auto"/>
                        <w:right w:val="none" w:sz="0" w:space="0" w:color="auto"/>
                      </w:divBdr>
                    </w:div>
                  </w:divsChild>
                </w:div>
                <w:div w:id="833910258">
                  <w:marLeft w:val="0"/>
                  <w:marRight w:val="0"/>
                  <w:marTop w:val="0"/>
                  <w:marBottom w:val="0"/>
                  <w:divBdr>
                    <w:top w:val="none" w:sz="0" w:space="0" w:color="auto"/>
                    <w:left w:val="none" w:sz="0" w:space="0" w:color="auto"/>
                    <w:bottom w:val="none" w:sz="0" w:space="0" w:color="auto"/>
                    <w:right w:val="none" w:sz="0" w:space="0" w:color="auto"/>
                  </w:divBdr>
                  <w:divsChild>
                    <w:div w:id="779299013">
                      <w:marLeft w:val="0"/>
                      <w:marRight w:val="0"/>
                      <w:marTop w:val="0"/>
                      <w:marBottom w:val="0"/>
                      <w:divBdr>
                        <w:top w:val="none" w:sz="0" w:space="0" w:color="auto"/>
                        <w:left w:val="none" w:sz="0" w:space="0" w:color="auto"/>
                        <w:bottom w:val="none" w:sz="0" w:space="0" w:color="auto"/>
                        <w:right w:val="none" w:sz="0" w:space="0" w:color="auto"/>
                      </w:divBdr>
                    </w:div>
                  </w:divsChild>
                </w:div>
                <w:div w:id="342827728">
                  <w:marLeft w:val="0"/>
                  <w:marRight w:val="0"/>
                  <w:marTop w:val="0"/>
                  <w:marBottom w:val="0"/>
                  <w:divBdr>
                    <w:top w:val="none" w:sz="0" w:space="0" w:color="auto"/>
                    <w:left w:val="none" w:sz="0" w:space="0" w:color="auto"/>
                    <w:bottom w:val="none" w:sz="0" w:space="0" w:color="auto"/>
                    <w:right w:val="none" w:sz="0" w:space="0" w:color="auto"/>
                  </w:divBdr>
                  <w:divsChild>
                    <w:div w:id="1947998907">
                      <w:marLeft w:val="0"/>
                      <w:marRight w:val="0"/>
                      <w:marTop w:val="0"/>
                      <w:marBottom w:val="0"/>
                      <w:divBdr>
                        <w:top w:val="none" w:sz="0" w:space="0" w:color="auto"/>
                        <w:left w:val="none" w:sz="0" w:space="0" w:color="auto"/>
                        <w:bottom w:val="none" w:sz="0" w:space="0" w:color="auto"/>
                        <w:right w:val="none" w:sz="0" w:space="0" w:color="auto"/>
                      </w:divBdr>
                    </w:div>
                  </w:divsChild>
                </w:div>
                <w:div w:id="1538657701">
                  <w:marLeft w:val="0"/>
                  <w:marRight w:val="0"/>
                  <w:marTop w:val="0"/>
                  <w:marBottom w:val="0"/>
                  <w:divBdr>
                    <w:top w:val="none" w:sz="0" w:space="0" w:color="auto"/>
                    <w:left w:val="none" w:sz="0" w:space="0" w:color="auto"/>
                    <w:bottom w:val="none" w:sz="0" w:space="0" w:color="auto"/>
                    <w:right w:val="none" w:sz="0" w:space="0" w:color="auto"/>
                  </w:divBdr>
                  <w:divsChild>
                    <w:div w:id="556284614">
                      <w:marLeft w:val="0"/>
                      <w:marRight w:val="0"/>
                      <w:marTop w:val="0"/>
                      <w:marBottom w:val="0"/>
                      <w:divBdr>
                        <w:top w:val="none" w:sz="0" w:space="0" w:color="auto"/>
                        <w:left w:val="none" w:sz="0" w:space="0" w:color="auto"/>
                        <w:bottom w:val="none" w:sz="0" w:space="0" w:color="auto"/>
                        <w:right w:val="none" w:sz="0" w:space="0" w:color="auto"/>
                      </w:divBdr>
                    </w:div>
                  </w:divsChild>
                </w:div>
                <w:div w:id="1777947847">
                  <w:marLeft w:val="0"/>
                  <w:marRight w:val="0"/>
                  <w:marTop w:val="0"/>
                  <w:marBottom w:val="0"/>
                  <w:divBdr>
                    <w:top w:val="none" w:sz="0" w:space="0" w:color="auto"/>
                    <w:left w:val="none" w:sz="0" w:space="0" w:color="auto"/>
                    <w:bottom w:val="none" w:sz="0" w:space="0" w:color="auto"/>
                    <w:right w:val="none" w:sz="0" w:space="0" w:color="auto"/>
                  </w:divBdr>
                  <w:divsChild>
                    <w:div w:id="2102870644">
                      <w:marLeft w:val="0"/>
                      <w:marRight w:val="0"/>
                      <w:marTop w:val="0"/>
                      <w:marBottom w:val="0"/>
                      <w:divBdr>
                        <w:top w:val="none" w:sz="0" w:space="0" w:color="auto"/>
                        <w:left w:val="none" w:sz="0" w:space="0" w:color="auto"/>
                        <w:bottom w:val="none" w:sz="0" w:space="0" w:color="auto"/>
                        <w:right w:val="none" w:sz="0" w:space="0" w:color="auto"/>
                      </w:divBdr>
                    </w:div>
                  </w:divsChild>
                </w:div>
                <w:div w:id="2089034868">
                  <w:marLeft w:val="0"/>
                  <w:marRight w:val="0"/>
                  <w:marTop w:val="0"/>
                  <w:marBottom w:val="0"/>
                  <w:divBdr>
                    <w:top w:val="none" w:sz="0" w:space="0" w:color="auto"/>
                    <w:left w:val="none" w:sz="0" w:space="0" w:color="auto"/>
                    <w:bottom w:val="none" w:sz="0" w:space="0" w:color="auto"/>
                    <w:right w:val="none" w:sz="0" w:space="0" w:color="auto"/>
                  </w:divBdr>
                  <w:divsChild>
                    <w:div w:id="114176891">
                      <w:marLeft w:val="0"/>
                      <w:marRight w:val="0"/>
                      <w:marTop w:val="0"/>
                      <w:marBottom w:val="0"/>
                      <w:divBdr>
                        <w:top w:val="none" w:sz="0" w:space="0" w:color="auto"/>
                        <w:left w:val="none" w:sz="0" w:space="0" w:color="auto"/>
                        <w:bottom w:val="none" w:sz="0" w:space="0" w:color="auto"/>
                        <w:right w:val="none" w:sz="0" w:space="0" w:color="auto"/>
                      </w:divBdr>
                    </w:div>
                  </w:divsChild>
                </w:div>
                <w:div w:id="634414989">
                  <w:marLeft w:val="0"/>
                  <w:marRight w:val="0"/>
                  <w:marTop w:val="0"/>
                  <w:marBottom w:val="0"/>
                  <w:divBdr>
                    <w:top w:val="none" w:sz="0" w:space="0" w:color="auto"/>
                    <w:left w:val="none" w:sz="0" w:space="0" w:color="auto"/>
                    <w:bottom w:val="none" w:sz="0" w:space="0" w:color="auto"/>
                    <w:right w:val="none" w:sz="0" w:space="0" w:color="auto"/>
                  </w:divBdr>
                  <w:divsChild>
                    <w:div w:id="101730690">
                      <w:marLeft w:val="0"/>
                      <w:marRight w:val="0"/>
                      <w:marTop w:val="0"/>
                      <w:marBottom w:val="0"/>
                      <w:divBdr>
                        <w:top w:val="none" w:sz="0" w:space="0" w:color="auto"/>
                        <w:left w:val="none" w:sz="0" w:space="0" w:color="auto"/>
                        <w:bottom w:val="none" w:sz="0" w:space="0" w:color="auto"/>
                        <w:right w:val="none" w:sz="0" w:space="0" w:color="auto"/>
                      </w:divBdr>
                    </w:div>
                  </w:divsChild>
                </w:div>
                <w:div w:id="1077360631">
                  <w:marLeft w:val="0"/>
                  <w:marRight w:val="0"/>
                  <w:marTop w:val="0"/>
                  <w:marBottom w:val="0"/>
                  <w:divBdr>
                    <w:top w:val="none" w:sz="0" w:space="0" w:color="auto"/>
                    <w:left w:val="none" w:sz="0" w:space="0" w:color="auto"/>
                    <w:bottom w:val="none" w:sz="0" w:space="0" w:color="auto"/>
                    <w:right w:val="none" w:sz="0" w:space="0" w:color="auto"/>
                  </w:divBdr>
                  <w:divsChild>
                    <w:div w:id="1107234842">
                      <w:marLeft w:val="0"/>
                      <w:marRight w:val="0"/>
                      <w:marTop w:val="0"/>
                      <w:marBottom w:val="0"/>
                      <w:divBdr>
                        <w:top w:val="none" w:sz="0" w:space="0" w:color="auto"/>
                        <w:left w:val="none" w:sz="0" w:space="0" w:color="auto"/>
                        <w:bottom w:val="none" w:sz="0" w:space="0" w:color="auto"/>
                        <w:right w:val="none" w:sz="0" w:space="0" w:color="auto"/>
                      </w:divBdr>
                    </w:div>
                  </w:divsChild>
                </w:div>
                <w:div w:id="756948524">
                  <w:marLeft w:val="0"/>
                  <w:marRight w:val="0"/>
                  <w:marTop w:val="0"/>
                  <w:marBottom w:val="0"/>
                  <w:divBdr>
                    <w:top w:val="none" w:sz="0" w:space="0" w:color="auto"/>
                    <w:left w:val="none" w:sz="0" w:space="0" w:color="auto"/>
                    <w:bottom w:val="none" w:sz="0" w:space="0" w:color="auto"/>
                    <w:right w:val="none" w:sz="0" w:space="0" w:color="auto"/>
                  </w:divBdr>
                  <w:divsChild>
                    <w:div w:id="380791530">
                      <w:marLeft w:val="0"/>
                      <w:marRight w:val="0"/>
                      <w:marTop w:val="0"/>
                      <w:marBottom w:val="0"/>
                      <w:divBdr>
                        <w:top w:val="none" w:sz="0" w:space="0" w:color="auto"/>
                        <w:left w:val="none" w:sz="0" w:space="0" w:color="auto"/>
                        <w:bottom w:val="none" w:sz="0" w:space="0" w:color="auto"/>
                        <w:right w:val="none" w:sz="0" w:space="0" w:color="auto"/>
                      </w:divBdr>
                    </w:div>
                  </w:divsChild>
                </w:div>
                <w:div w:id="418185634">
                  <w:marLeft w:val="0"/>
                  <w:marRight w:val="0"/>
                  <w:marTop w:val="0"/>
                  <w:marBottom w:val="0"/>
                  <w:divBdr>
                    <w:top w:val="none" w:sz="0" w:space="0" w:color="auto"/>
                    <w:left w:val="none" w:sz="0" w:space="0" w:color="auto"/>
                    <w:bottom w:val="none" w:sz="0" w:space="0" w:color="auto"/>
                    <w:right w:val="none" w:sz="0" w:space="0" w:color="auto"/>
                  </w:divBdr>
                  <w:divsChild>
                    <w:div w:id="344982452">
                      <w:marLeft w:val="0"/>
                      <w:marRight w:val="0"/>
                      <w:marTop w:val="0"/>
                      <w:marBottom w:val="0"/>
                      <w:divBdr>
                        <w:top w:val="none" w:sz="0" w:space="0" w:color="auto"/>
                        <w:left w:val="none" w:sz="0" w:space="0" w:color="auto"/>
                        <w:bottom w:val="none" w:sz="0" w:space="0" w:color="auto"/>
                        <w:right w:val="none" w:sz="0" w:space="0" w:color="auto"/>
                      </w:divBdr>
                    </w:div>
                  </w:divsChild>
                </w:div>
                <w:div w:id="1306155264">
                  <w:marLeft w:val="0"/>
                  <w:marRight w:val="0"/>
                  <w:marTop w:val="0"/>
                  <w:marBottom w:val="0"/>
                  <w:divBdr>
                    <w:top w:val="none" w:sz="0" w:space="0" w:color="auto"/>
                    <w:left w:val="none" w:sz="0" w:space="0" w:color="auto"/>
                    <w:bottom w:val="none" w:sz="0" w:space="0" w:color="auto"/>
                    <w:right w:val="none" w:sz="0" w:space="0" w:color="auto"/>
                  </w:divBdr>
                  <w:divsChild>
                    <w:div w:id="440299033">
                      <w:marLeft w:val="0"/>
                      <w:marRight w:val="0"/>
                      <w:marTop w:val="0"/>
                      <w:marBottom w:val="0"/>
                      <w:divBdr>
                        <w:top w:val="none" w:sz="0" w:space="0" w:color="auto"/>
                        <w:left w:val="none" w:sz="0" w:space="0" w:color="auto"/>
                        <w:bottom w:val="none" w:sz="0" w:space="0" w:color="auto"/>
                        <w:right w:val="none" w:sz="0" w:space="0" w:color="auto"/>
                      </w:divBdr>
                    </w:div>
                  </w:divsChild>
                </w:div>
                <w:div w:id="647317925">
                  <w:marLeft w:val="0"/>
                  <w:marRight w:val="0"/>
                  <w:marTop w:val="0"/>
                  <w:marBottom w:val="0"/>
                  <w:divBdr>
                    <w:top w:val="none" w:sz="0" w:space="0" w:color="auto"/>
                    <w:left w:val="none" w:sz="0" w:space="0" w:color="auto"/>
                    <w:bottom w:val="none" w:sz="0" w:space="0" w:color="auto"/>
                    <w:right w:val="none" w:sz="0" w:space="0" w:color="auto"/>
                  </w:divBdr>
                  <w:divsChild>
                    <w:div w:id="2119911053">
                      <w:marLeft w:val="0"/>
                      <w:marRight w:val="0"/>
                      <w:marTop w:val="0"/>
                      <w:marBottom w:val="0"/>
                      <w:divBdr>
                        <w:top w:val="none" w:sz="0" w:space="0" w:color="auto"/>
                        <w:left w:val="none" w:sz="0" w:space="0" w:color="auto"/>
                        <w:bottom w:val="none" w:sz="0" w:space="0" w:color="auto"/>
                        <w:right w:val="none" w:sz="0" w:space="0" w:color="auto"/>
                      </w:divBdr>
                    </w:div>
                  </w:divsChild>
                </w:div>
                <w:div w:id="568073134">
                  <w:marLeft w:val="0"/>
                  <w:marRight w:val="0"/>
                  <w:marTop w:val="0"/>
                  <w:marBottom w:val="0"/>
                  <w:divBdr>
                    <w:top w:val="none" w:sz="0" w:space="0" w:color="auto"/>
                    <w:left w:val="none" w:sz="0" w:space="0" w:color="auto"/>
                    <w:bottom w:val="none" w:sz="0" w:space="0" w:color="auto"/>
                    <w:right w:val="none" w:sz="0" w:space="0" w:color="auto"/>
                  </w:divBdr>
                  <w:divsChild>
                    <w:div w:id="1263757016">
                      <w:marLeft w:val="0"/>
                      <w:marRight w:val="0"/>
                      <w:marTop w:val="0"/>
                      <w:marBottom w:val="0"/>
                      <w:divBdr>
                        <w:top w:val="none" w:sz="0" w:space="0" w:color="auto"/>
                        <w:left w:val="none" w:sz="0" w:space="0" w:color="auto"/>
                        <w:bottom w:val="none" w:sz="0" w:space="0" w:color="auto"/>
                        <w:right w:val="none" w:sz="0" w:space="0" w:color="auto"/>
                      </w:divBdr>
                    </w:div>
                  </w:divsChild>
                </w:div>
                <w:div w:id="896667552">
                  <w:marLeft w:val="0"/>
                  <w:marRight w:val="0"/>
                  <w:marTop w:val="0"/>
                  <w:marBottom w:val="0"/>
                  <w:divBdr>
                    <w:top w:val="none" w:sz="0" w:space="0" w:color="auto"/>
                    <w:left w:val="none" w:sz="0" w:space="0" w:color="auto"/>
                    <w:bottom w:val="none" w:sz="0" w:space="0" w:color="auto"/>
                    <w:right w:val="none" w:sz="0" w:space="0" w:color="auto"/>
                  </w:divBdr>
                  <w:divsChild>
                    <w:div w:id="1908295026">
                      <w:marLeft w:val="0"/>
                      <w:marRight w:val="0"/>
                      <w:marTop w:val="0"/>
                      <w:marBottom w:val="0"/>
                      <w:divBdr>
                        <w:top w:val="none" w:sz="0" w:space="0" w:color="auto"/>
                        <w:left w:val="none" w:sz="0" w:space="0" w:color="auto"/>
                        <w:bottom w:val="none" w:sz="0" w:space="0" w:color="auto"/>
                        <w:right w:val="none" w:sz="0" w:space="0" w:color="auto"/>
                      </w:divBdr>
                    </w:div>
                  </w:divsChild>
                </w:div>
                <w:div w:id="674767315">
                  <w:marLeft w:val="0"/>
                  <w:marRight w:val="0"/>
                  <w:marTop w:val="0"/>
                  <w:marBottom w:val="0"/>
                  <w:divBdr>
                    <w:top w:val="none" w:sz="0" w:space="0" w:color="auto"/>
                    <w:left w:val="none" w:sz="0" w:space="0" w:color="auto"/>
                    <w:bottom w:val="none" w:sz="0" w:space="0" w:color="auto"/>
                    <w:right w:val="none" w:sz="0" w:space="0" w:color="auto"/>
                  </w:divBdr>
                  <w:divsChild>
                    <w:div w:id="2055159740">
                      <w:marLeft w:val="0"/>
                      <w:marRight w:val="0"/>
                      <w:marTop w:val="0"/>
                      <w:marBottom w:val="0"/>
                      <w:divBdr>
                        <w:top w:val="none" w:sz="0" w:space="0" w:color="auto"/>
                        <w:left w:val="none" w:sz="0" w:space="0" w:color="auto"/>
                        <w:bottom w:val="none" w:sz="0" w:space="0" w:color="auto"/>
                        <w:right w:val="none" w:sz="0" w:space="0" w:color="auto"/>
                      </w:divBdr>
                    </w:div>
                  </w:divsChild>
                </w:div>
                <w:div w:id="1025207817">
                  <w:marLeft w:val="0"/>
                  <w:marRight w:val="0"/>
                  <w:marTop w:val="0"/>
                  <w:marBottom w:val="0"/>
                  <w:divBdr>
                    <w:top w:val="none" w:sz="0" w:space="0" w:color="auto"/>
                    <w:left w:val="none" w:sz="0" w:space="0" w:color="auto"/>
                    <w:bottom w:val="none" w:sz="0" w:space="0" w:color="auto"/>
                    <w:right w:val="none" w:sz="0" w:space="0" w:color="auto"/>
                  </w:divBdr>
                  <w:divsChild>
                    <w:div w:id="976451530">
                      <w:marLeft w:val="0"/>
                      <w:marRight w:val="0"/>
                      <w:marTop w:val="0"/>
                      <w:marBottom w:val="0"/>
                      <w:divBdr>
                        <w:top w:val="none" w:sz="0" w:space="0" w:color="auto"/>
                        <w:left w:val="none" w:sz="0" w:space="0" w:color="auto"/>
                        <w:bottom w:val="none" w:sz="0" w:space="0" w:color="auto"/>
                        <w:right w:val="none" w:sz="0" w:space="0" w:color="auto"/>
                      </w:divBdr>
                    </w:div>
                  </w:divsChild>
                </w:div>
                <w:div w:id="1751612776">
                  <w:marLeft w:val="0"/>
                  <w:marRight w:val="0"/>
                  <w:marTop w:val="0"/>
                  <w:marBottom w:val="0"/>
                  <w:divBdr>
                    <w:top w:val="none" w:sz="0" w:space="0" w:color="auto"/>
                    <w:left w:val="none" w:sz="0" w:space="0" w:color="auto"/>
                    <w:bottom w:val="none" w:sz="0" w:space="0" w:color="auto"/>
                    <w:right w:val="none" w:sz="0" w:space="0" w:color="auto"/>
                  </w:divBdr>
                  <w:divsChild>
                    <w:div w:id="71238919">
                      <w:marLeft w:val="0"/>
                      <w:marRight w:val="0"/>
                      <w:marTop w:val="0"/>
                      <w:marBottom w:val="0"/>
                      <w:divBdr>
                        <w:top w:val="none" w:sz="0" w:space="0" w:color="auto"/>
                        <w:left w:val="none" w:sz="0" w:space="0" w:color="auto"/>
                        <w:bottom w:val="none" w:sz="0" w:space="0" w:color="auto"/>
                        <w:right w:val="none" w:sz="0" w:space="0" w:color="auto"/>
                      </w:divBdr>
                    </w:div>
                  </w:divsChild>
                </w:div>
                <w:div w:id="1177041556">
                  <w:marLeft w:val="0"/>
                  <w:marRight w:val="0"/>
                  <w:marTop w:val="0"/>
                  <w:marBottom w:val="0"/>
                  <w:divBdr>
                    <w:top w:val="none" w:sz="0" w:space="0" w:color="auto"/>
                    <w:left w:val="none" w:sz="0" w:space="0" w:color="auto"/>
                    <w:bottom w:val="none" w:sz="0" w:space="0" w:color="auto"/>
                    <w:right w:val="none" w:sz="0" w:space="0" w:color="auto"/>
                  </w:divBdr>
                  <w:divsChild>
                    <w:div w:id="630744133">
                      <w:marLeft w:val="0"/>
                      <w:marRight w:val="0"/>
                      <w:marTop w:val="0"/>
                      <w:marBottom w:val="0"/>
                      <w:divBdr>
                        <w:top w:val="none" w:sz="0" w:space="0" w:color="auto"/>
                        <w:left w:val="none" w:sz="0" w:space="0" w:color="auto"/>
                        <w:bottom w:val="none" w:sz="0" w:space="0" w:color="auto"/>
                        <w:right w:val="none" w:sz="0" w:space="0" w:color="auto"/>
                      </w:divBdr>
                    </w:div>
                  </w:divsChild>
                </w:div>
                <w:div w:id="356078506">
                  <w:marLeft w:val="0"/>
                  <w:marRight w:val="0"/>
                  <w:marTop w:val="0"/>
                  <w:marBottom w:val="0"/>
                  <w:divBdr>
                    <w:top w:val="none" w:sz="0" w:space="0" w:color="auto"/>
                    <w:left w:val="none" w:sz="0" w:space="0" w:color="auto"/>
                    <w:bottom w:val="none" w:sz="0" w:space="0" w:color="auto"/>
                    <w:right w:val="none" w:sz="0" w:space="0" w:color="auto"/>
                  </w:divBdr>
                  <w:divsChild>
                    <w:div w:id="1480877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5329717">
      <w:bodyDiv w:val="1"/>
      <w:marLeft w:val="0"/>
      <w:marRight w:val="0"/>
      <w:marTop w:val="0"/>
      <w:marBottom w:val="0"/>
      <w:divBdr>
        <w:top w:val="none" w:sz="0" w:space="0" w:color="auto"/>
        <w:left w:val="none" w:sz="0" w:space="0" w:color="auto"/>
        <w:bottom w:val="none" w:sz="0" w:space="0" w:color="auto"/>
        <w:right w:val="none" w:sz="0" w:space="0" w:color="auto"/>
      </w:divBdr>
      <w:divsChild>
        <w:div w:id="1039010999">
          <w:marLeft w:val="0"/>
          <w:marRight w:val="0"/>
          <w:marTop w:val="0"/>
          <w:marBottom w:val="0"/>
          <w:divBdr>
            <w:top w:val="none" w:sz="0" w:space="0" w:color="auto"/>
            <w:left w:val="none" w:sz="0" w:space="0" w:color="auto"/>
            <w:bottom w:val="none" w:sz="0" w:space="0" w:color="auto"/>
            <w:right w:val="none" w:sz="0" w:space="0" w:color="auto"/>
          </w:divBdr>
        </w:div>
      </w:divsChild>
    </w:div>
    <w:div w:id="1742365837">
      <w:bodyDiv w:val="1"/>
      <w:marLeft w:val="0"/>
      <w:marRight w:val="0"/>
      <w:marTop w:val="0"/>
      <w:marBottom w:val="0"/>
      <w:divBdr>
        <w:top w:val="none" w:sz="0" w:space="0" w:color="auto"/>
        <w:left w:val="none" w:sz="0" w:space="0" w:color="auto"/>
        <w:bottom w:val="none" w:sz="0" w:space="0" w:color="auto"/>
        <w:right w:val="none" w:sz="0" w:space="0" w:color="auto"/>
      </w:divBdr>
      <w:divsChild>
        <w:div w:id="441219500">
          <w:marLeft w:val="0"/>
          <w:marRight w:val="0"/>
          <w:marTop w:val="0"/>
          <w:marBottom w:val="0"/>
          <w:divBdr>
            <w:top w:val="none" w:sz="0" w:space="0" w:color="auto"/>
            <w:left w:val="none" w:sz="0" w:space="0" w:color="auto"/>
            <w:bottom w:val="none" w:sz="0" w:space="0" w:color="auto"/>
            <w:right w:val="none" w:sz="0" w:space="0" w:color="auto"/>
          </w:divBdr>
        </w:div>
      </w:divsChild>
    </w:div>
    <w:div w:id="1998193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fontTable" Target="fontTable.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image" Target="media/image22.png"/></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684615500b486a6dc2e518b993176177">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8df6db23c55f41bbefa0e73f42d62e24"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Props1.xml><?xml version="1.0" encoding="utf-8"?>
<ds:datastoreItem xmlns:ds="http://schemas.openxmlformats.org/officeDocument/2006/customXml" ds:itemID="{C994A57C-BF9E-B44A-94EC-E085561AEFF7}">
  <ds:schemaRefs>
    <ds:schemaRef ds:uri="http://schemas.openxmlformats.org/officeDocument/2006/bibliography"/>
  </ds:schemaRefs>
</ds:datastoreItem>
</file>

<file path=customXml/itemProps2.xml><?xml version="1.0" encoding="utf-8"?>
<ds:datastoreItem xmlns:ds="http://schemas.openxmlformats.org/officeDocument/2006/customXml" ds:itemID="{464BA8CD-F16B-4EAD-8B75-E59B22E2BA87}"/>
</file>

<file path=customXml/itemProps3.xml><?xml version="1.0" encoding="utf-8"?>
<ds:datastoreItem xmlns:ds="http://schemas.openxmlformats.org/officeDocument/2006/customXml" ds:itemID="{6A99D619-FA0F-4EDC-B3CC-72C9E73B111C}"/>
</file>

<file path=customXml/itemProps4.xml><?xml version="1.0" encoding="utf-8"?>
<ds:datastoreItem xmlns:ds="http://schemas.openxmlformats.org/officeDocument/2006/customXml" ds:itemID="{022499F8-EFAB-41CE-8800-309973EB4267}"/>
</file>

<file path=docProps/app.xml><?xml version="1.0" encoding="utf-8"?>
<Properties xmlns="http://schemas.openxmlformats.org/officeDocument/2006/extended-properties" xmlns:vt="http://schemas.openxmlformats.org/officeDocument/2006/docPropsVTypes">
  <Template>Normal</Template>
  <TotalTime>2</TotalTime>
  <Pages>29</Pages>
  <Words>4179</Words>
  <Characters>22985</Characters>
  <Application>Microsoft Office Word</Application>
  <DocSecurity>0</DocSecurity>
  <Lines>191</Lines>
  <Paragraphs>54</Paragraphs>
  <ScaleCrop>false</ScaleCrop>
  <Company/>
  <LinksUpToDate>false</LinksUpToDate>
  <CharactersWithSpaces>27110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Yamid Enrique Cotrina Gulfo</dc:creator>
  <cp:keywords/>
  <dc:description/>
  <cp:lastModifiedBy>Kelly Xiomara Molano Quijano</cp:lastModifiedBy>
  <cp:revision>3</cp:revision>
  <dcterms:created xsi:type="dcterms:W3CDTF">2025-12-23T22:25:00Z</dcterms:created>
  <dcterms:modified xsi:type="dcterms:W3CDTF">2025-12-26T14:54:00Z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lpwstr>19435300.0000000</vt:lpwstr>
  </property>
  <property fmtid="{D5CDD505-2E9C-101B-9397-08002B2CF9AE}" pid="4" name="xd_ProgID">
    <vt:lpwstr/>
  </property>
  <property fmtid="{D5CDD505-2E9C-101B-9397-08002B2CF9AE}" pid="5" name="MediaServiceImageTags">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xd_Signature">
    <vt:lpwstr/>
  </property>
</Properties>
</file>